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520" w:after="160"/>
      </w:pPr>
      <w:r>
        <w:rPr>
          <w:rFonts w:ascii="Nimbus Sans" w:hAnsi="Nimbus Sans" w:eastAsia="Nimbus Sans" w:cs="Nimbus Sans"/>
          <w:b/>
          <w:color w:val="20B2AA"/>
          <w:sz w:val="26"/>
        </w:rPr>
        <w:t>JOBFORGED</w:t>
      </w:r>
    </w:p>
    <w:p>
      <w:pPr>
        <w:spacing w:after="200"/>
      </w:pPr>
      <w:r>
        <w:rPr>
          <w:rFonts w:ascii="Nimbus Sans" w:hAnsi="Nimbus Sans" w:eastAsia="Nimbus Sans" w:cs="Nimbus Sans"/>
          <w:b/>
          <w:color w:val="17243D"/>
          <w:sz w:val="64"/>
        </w:rPr>
        <w:t>Política de</w:t>
        <w:br/>
        <w:t>Privacidade</w:t>
      </w:r>
    </w:p>
    <w:p>
      <w:pPr>
        <w:spacing w:after="560"/>
      </w:pPr>
      <w:r>
        <w:rPr>
          <w:rFonts w:ascii="Nimbus Sans" w:hAnsi="Nimbus Sans" w:eastAsia="Nimbus Sans" w:cs="Nimbus Sans"/>
          <w:color w:val="667085"/>
          <w:sz w:val="26"/>
        </w:rPr>
        <w:t>Transparência, governança e proteção de dados pessoais</w:t>
      </w:r>
    </w:p>
    <w:tbl>
      <w:tblPr>
        <w:tblStyle w:val="TableGrid"/>
        <w:tblW w:type="dxa" w:w="9360"/>
        <w:jc w:val="left"/>
        <w:tblLayout w:type="fixed"/>
        <w:tblLook w:firstColumn="1" w:firstRow="1" w:lastColumn="0" w:lastRow="0" w:noHBand="0" w:noVBand="1" w:val="04A0"/>
        <w:tblInd w:w="120" w:type="dxa"/>
      </w:tblPr>
      <w:tblGrid>
        <w:gridCol w:w="1800"/>
        <w:gridCol w:w="7560"/>
      </w:tblGrid>
      <w:tr>
        <w:trPr>
          <w:tblHeader w:val="true"/>
        </w:trPr>
        <w:tc>
          <w:tcPr>
            <w:tcW w:type="dxa" w:w="1800"/>
            <w:tcMar>
              <w:top w:w="100" w:type="dxa"/>
              <w:start w:w="120" w:type="dxa"/>
              <w:bottom w:w="100" w:type="dxa"/>
              <w:end w:w="120" w:type="dxa"/>
            </w:tcMar>
            <w:vAlign w:val="center"/>
            <w:shd w:fill="E8F7F5"/>
          </w:tcPr>
          <w:p>
            <w:pPr>
              <w:spacing w:after="0"/>
            </w:pPr>
            <w:r>
              <w:rPr>
                <w:rFonts w:ascii="Nimbus Sans" w:hAnsi="Nimbus Sans" w:eastAsia="Nimbus Sans" w:cs="Nimbus Sans"/>
                <w:b/>
                <w:color w:val="20B2AA"/>
                <w:sz w:val="17"/>
              </w:rPr>
              <w:t>VERSÃO</w:t>
            </w:r>
          </w:p>
        </w:tc>
        <w:tc>
          <w:tcPr>
            <w:tcW w:type="dxa" w:w="7560"/>
            <w:tcMar>
              <w:top w:w="100" w:type="dxa"/>
              <w:start w:w="120" w:type="dxa"/>
              <w:bottom w:w="100" w:type="dxa"/>
              <w:end w:w="120" w:type="dxa"/>
            </w:tcMar>
            <w:vAlign w:val="center"/>
          </w:tcPr>
          <w:p>
            <w:pPr>
              <w:spacing w:after="0"/>
            </w:pPr>
            <w:r>
              <w:rPr>
                <w:rFonts w:ascii="Nimbus Sans" w:hAnsi="Nimbus Sans" w:eastAsia="Nimbus Sans" w:cs="Nimbus Sans"/>
                <w:b/>
                <w:color w:val="17243D"/>
                <w:sz w:val="18"/>
              </w:rPr>
              <w:t>1.0</w:t>
            </w:r>
          </w:p>
        </w:tc>
      </w:tr>
      <w:tr>
        <w:tc>
          <w:tcPr>
            <w:tcW w:type="dxa" w:w="1800"/>
            <w:tcMar>
              <w:top w:w="100" w:type="dxa"/>
              <w:start w:w="120" w:type="dxa"/>
              <w:bottom w:w="100" w:type="dxa"/>
              <w:end w:w="120" w:type="dxa"/>
            </w:tcMar>
            <w:vAlign w:val="center"/>
            <w:shd w:fill="E8F7F5"/>
          </w:tcPr>
          <w:p>
            <w:pPr>
              <w:spacing w:after="0"/>
            </w:pPr>
            <w:r>
              <w:rPr>
                <w:rFonts w:ascii="Nimbus Sans" w:hAnsi="Nimbus Sans" w:eastAsia="Nimbus Sans" w:cs="Nimbus Sans"/>
                <w:b/>
                <w:color w:val="20B2AA"/>
                <w:sz w:val="17"/>
              </w:rPr>
              <w:t>CONSOLIDAÇÃO</w:t>
            </w:r>
          </w:p>
        </w:tc>
        <w:tc>
          <w:tcPr>
            <w:tcW w:type="dxa" w:w="7560"/>
            <w:tcMar>
              <w:top w:w="100" w:type="dxa"/>
              <w:start w:w="120" w:type="dxa"/>
              <w:bottom w:w="100" w:type="dxa"/>
              <w:end w:w="120" w:type="dxa"/>
            </w:tcMar>
            <w:vAlign w:val="center"/>
          </w:tcPr>
          <w:p>
            <w:pPr>
              <w:spacing w:after="0"/>
            </w:pPr>
            <w:r>
              <w:rPr>
                <w:rFonts w:ascii="Nimbus Sans" w:hAnsi="Nimbus Sans" w:eastAsia="Nimbus Sans" w:cs="Nimbus Sans"/>
                <w:b/>
                <w:color w:val="17243D"/>
                <w:sz w:val="18"/>
              </w:rPr>
              <w:t>21 de agosto de 2026</w:t>
            </w:r>
          </w:p>
        </w:tc>
      </w:tr>
      <w:tr>
        <w:tc>
          <w:tcPr>
            <w:tcW w:type="dxa" w:w="1800"/>
            <w:tcMar>
              <w:top w:w="100" w:type="dxa"/>
              <w:start w:w="120" w:type="dxa"/>
              <w:bottom w:w="100" w:type="dxa"/>
              <w:end w:w="120" w:type="dxa"/>
            </w:tcMar>
            <w:vAlign w:val="center"/>
            <w:shd w:fill="E8F7F5"/>
          </w:tcPr>
          <w:p>
            <w:pPr>
              <w:spacing w:after="0"/>
            </w:pPr>
            <w:r>
              <w:rPr>
                <w:rFonts w:ascii="Nimbus Sans" w:hAnsi="Nimbus Sans" w:eastAsia="Nimbus Sans" w:cs="Nimbus Sans"/>
                <w:b/>
                <w:color w:val="20B2AA"/>
                <w:sz w:val="17"/>
              </w:rPr>
              <w:t>STATUS</w:t>
            </w:r>
          </w:p>
        </w:tc>
        <w:tc>
          <w:tcPr>
            <w:tcW w:type="dxa" w:w="7560"/>
            <w:tcMar>
              <w:top w:w="100" w:type="dxa"/>
              <w:start w:w="120" w:type="dxa"/>
              <w:bottom w:w="100" w:type="dxa"/>
              <w:end w:w="120" w:type="dxa"/>
            </w:tcMar>
            <w:vAlign w:val="center"/>
          </w:tcPr>
          <w:p>
            <w:pPr>
              <w:spacing w:after="0"/>
            </w:pPr>
            <w:r>
              <w:rPr>
                <w:rFonts w:ascii="Nimbus Sans" w:hAnsi="Nimbus Sans" w:eastAsia="Nimbus Sans" w:cs="Nimbus Sans"/>
                <w:b/>
                <w:color w:val="B42318"/>
                <w:sz w:val="18"/>
              </w:rPr>
              <w:t>Modelo operacional — revisão obrigatória antes da publicação</w:t>
            </w:r>
          </w:p>
        </w:tc>
      </w:tr>
    </w:tbl>
    <w:p>
      <w:pPr>
        <w:spacing w:before="560" w:after="200" w:line="283" w:lineRule="auto"/>
        <w:ind w:left="259" w:right="259"/>
      </w:pPr>
      <w:r>
        <w:rPr>
          <w:rFonts w:ascii="Nimbus Sans" w:hAnsi="Nimbus Sans" w:eastAsia="Nimbus Sans" w:cs="Nimbus Sans"/>
          <w:b/>
          <w:color w:val="B42318"/>
          <w:sz w:val="21"/>
        </w:rPr>
        <w:t>ATENÇÃO — NÃO PUBLICAR SEM PREENCHER OS CAMPOS EM VERMELHO E VALIDAR O TEXTO COM A OPERAÇÃO REAL.</w:t>
      </w:r>
    </w:p>
    <w:p>
      <w:pPr>
        <w:spacing w:before="680"/>
      </w:pPr>
      <w:r>
        <w:rPr>
          <w:rFonts w:ascii="Nimbus Sans" w:hAnsi="Nimbus Sans" w:eastAsia="Nimbus Sans" w:cs="Nimbus Sans"/>
          <w:b/>
          <w:color w:val="4169E1"/>
          <w:sz w:val="21"/>
        </w:rPr>
        <w:t>CONTRATAÇÕES MAIS INTELIGENTES, ACESSÍVEIS E ESTRUTURADAS.</w:t>
      </w:r>
    </w:p>
    <w:p>
      <w:r>
        <w:br w:type="page"/>
      </w:r>
    </w:p>
    <w:p>
      <w:pPr>
        <w:pStyle w:val="Heading1"/>
        <w:keepNext/>
        <w:spacing w:before="0"/>
      </w:pPr>
      <w:r>
        <w:t>Mapa do documento</w:t>
      </w:r>
    </w:p>
    <w:p>
      <w:r>
        <w:rPr>
          <w:rFonts w:ascii="Nimbus Sans" w:hAnsi="Nimbus Sans" w:eastAsia="Nimbus Sans" w:cs="Nimbus Sans"/>
          <w:b w:val="0"/>
          <w:i w:val="0"/>
          <w:color w:val="191D17"/>
          <w:sz w:val="21"/>
        </w:rPr>
        <w:t>Use este mapa para localizar regras e pontos de implementação. Campos entre colchetes permanecem pendentes e aparecem em vermelho no documento.</w:t>
      </w:r>
    </w:p>
    <w:p>
      <w:pPr>
        <w:numPr>
          <w:ilvl w:val="0"/>
          <w:numId w:val="10"/>
        </w:numPr>
        <w:spacing w:after="80" w:line="300" w:lineRule="auto"/>
      </w:pPr>
      <w:r>
        <w:rPr>
          <w:rFonts w:ascii="Nimbus Sans" w:hAnsi="Nimbus Sans" w:eastAsia="Nimbus Sans" w:cs="Nimbus Sans"/>
          <w:b w:val="0"/>
          <w:i w:val="0"/>
          <w:color w:val="17243D"/>
          <w:sz w:val="19"/>
        </w:rPr>
        <w:t>Objetivo e escopo</w:t>
      </w:r>
    </w:p>
    <w:p>
      <w:pPr>
        <w:numPr>
          <w:ilvl w:val="0"/>
          <w:numId w:val="10"/>
        </w:numPr>
        <w:spacing w:after="80" w:line="300" w:lineRule="auto"/>
      </w:pPr>
      <w:r>
        <w:rPr>
          <w:rFonts w:ascii="Nimbus Sans" w:hAnsi="Nimbus Sans" w:eastAsia="Nimbus Sans" w:cs="Nimbus Sans"/>
          <w:b w:val="0"/>
          <w:i w:val="0"/>
          <w:color w:val="17243D"/>
          <w:sz w:val="19"/>
        </w:rPr>
        <w:t>A quem esta Política se aplica</w:t>
      </w:r>
    </w:p>
    <w:p>
      <w:pPr>
        <w:numPr>
          <w:ilvl w:val="0"/>
          <w:numId w:val="10"/>
        </w:numPr>
        <w:spacing w:after="80" w:line="300" w:lineRule="auto"/>
      </w:pPr>
      <w:r>
        <w:rPr>
          <w:rFonts w:ascii="Nimbus Sans" w:hAnsi="Nimbus Sans" w:eastAsia="Nimbus Sans" w:cs="Nimbus Sans"/>
          <w:b w:val="0"/>
          <w:i w:val="0"/>
          <w:color w:val="17243D"/>
          <w:sz w:val="19"/>
        </w:rPr>
        <w:t>Papéis e responsabilidades na LGPD</w:t>
      </w:r>
    </w:p>
    <w:p>
      <w:pPr>
        <w:numPr>
          <w:ilvl w:val="0"/>
          <w:numId w:val="10"/>
        </w:numPr>
        <w:spacing w:after="80" w:line="300" w:lineRule="auto"/>
      </w:pPr>
      <w:r>
        <w:rPr>
          <w:rFonts w:ascii="Nimbus Sans" w:hAnsi="Nimbus Sans" w:eastAsia="Nimbus Sans" w:cs="Nimbus Sans"/>
          <w:b w:val="0"/>
          <w:i w:val="0"/>
          <w:color w:val="17243D"/>
          <w:sz w:val="19"/>
        </w:rPr>
        <w:t>Dados pessoais que podem ser tratados</w:t>
      </w:r>
    </w:p>
    <w:p>
      <w:pPr>
        <w:numPr>
          <w:ilvl w:val="0"/>
          <w:numId w:val="10"/>
        </w:numPr>
        <w:spacing w:after="80" w:line="300" w:lineRule="auto"/>
      </w:pPr>
      <w:r>
        <w:rPr>
          <w:rFonts w:ascii="Nimbus Sans" w:hAnsi="Nimbus Sans" w:eastAsia="Nimbus Sans" w:cs="Nimbus Sans"/>
          <w:b w:val="0"/>
          <w:i w:val="0"/>
          <w:color w:val="17243D"/>
          <w:sz w:val="19"/>
        </w:rPr>
        <w:t>Dados sensíveis e informações desnecessárias</w:t>
      </w:r>
    </w:p>
    <w:p>
      <w:pPr>
        <w:numPr>
          <w:ilvl w:val="0"/>
          <w:numId w:val="10"/>
        </w:numPr>
        <w:spacing w:after="80" w:line="300" w:lineRule="auto"/>
      </w:pPr>
      <w:r>
        <w:rPr>
          <w:rFonts w:ascii="Nimbus Sans" w:hAnsi="Nimbus Sans" w:eastAsia="Nimbus Sans" w:cs="Nimbus Sans"/>
          <w:b w:val="0"/>
          <w:i w:val="0"/>
          <w:color w:val="17243D"/>
          <w:sz w:val="19"/>
        </w:rPr>
        <w:t>Origem dos dados</w:t>
      </w:r>
    </w:p>
    <w:p>
      <w:pPr>
        <w:numPr>
          <w:ilvl w:val="0"/>
          <w:numId w:val="10"/>
        </w:numPr>
        <w:spacing w:after="80" w:line="300" w:lineRule="auto"/>
      </w:pPr>
      <w:r>
        <w:rPr>
          <w:rFonts w:ascii="Nimbus Sans" w:hAnsi="Nimbus Sans" w:eastAsia="Nimbus Sans" w:cs="Nimbus Sans"/>
          <w:b w:val="0"/>
          <w:i w:val="0"/>
          <w:color w:val="17243D"/>
          <w:sz w:val="19"/>
        </w:rPr>
        <w:t>Finalidades e bases legais</w:t>
      </w:r>
    </w:p>
    <w:p>
      <w:pPr>
        <w:numPr>
          <w:ilvl w:val="0"/>
          <w:numId w:val="10"/>
        </w:numPr>
        <w:spacing w:after="80" w:line="300" w:lineRule="auto"/>
      </w:pPr>
      <w:r>
        <w:rPr>
          <w:rFonts w:ascii="Nimbus Sans" w:hAnsi="Nimbus Sans" w:eastAsia="Nimbus Sans" w:cs="Nimbus Sans"/>
          <w:b w:val="0"/>
          <w:i w:val="0"/>
          <w:color w:val="17243D"/>
          <w:sz w:val="19"/>
        </w:rPr>
        <w:t xml:space="preserve">Portal agregado </w:t>
      </w:r>
      <w:r>
        <w:rPr>
          <w:rFonts w:ascii="DejaVu Sans Mono" w:hAnsi="DejaVu Sans Mono" w:eastAsia="DejaVu Sans Mono" w:cs="DejaVu Sans Mono"/>
          <w:b w:val="0"/>
          <w:i w:val="0"/>
          <w:color w:val="17243D"/>
          <w:sz w:val="18"/>
        </w:rPr>
        <w:t>vagas.jobforged.com</w:t>
      </w:r>
    </w:p>
    <w:p>
      <w:pPr>
        <w:numPr>
          <w:ilvl w:val="0"/>
          <w:numId w:val="10"/>
        </w:numPr>
        <w:spacing w:after="80" w:line="300" w:lineRule="auto"/>
      </w:pPr>
      <w:r>
        <w:rPr>
          <w:rFonts w:ascii="Nimbus Sans" w:hAnsi="Nimbus Sans" w:eastAsia="Nimbus Sans" w:cs="Nimbus Sans"/>
          <w:b w:val="0"/>
          <w:i w:val="0"/>
          <w:color w:val="17243D"/>
          <w:sz w:val="19"/>
        </w:rPr>
        <w:t>Inteligência artificial e decisões automatizadas</w:t>
      </w:r>
    </w:p>
    <w:p>
      <w:pPr>
        <w:numPr>
          <w:ilvl w:val="0"/>
          <w:numId w:val="10"/>
        </w:numPr>
        <w:spacing w:after="80" w:line="300" w:lineRule="auto"/>
      </w:pPr>
      <w:r>
        <w:rPr>
          <w:rFonts w:ascii="Nimbus Sans" w:hAnsi="Nimbus Sans" w:eastAsia="Nimbus Sans" w:cs="Nimbus Sans"/>
          <w:b w:val="0"/>
          <w:i w:val="0"/>
          <w:color w:val="17243D"/>
          <w:sz w:val="19"/>
        </w:rPr>
        <w:t>Compartilhamento de dados</w:t>
      </w:r>
    </w:p>
    <w:p>
      <w:pPr>
        <w:numPr>
          <w:ilvl w:val="0"/>
          <w:numId w:val="10"/>
        </w:numPr>
        <w:spacing w:after="80" w:line="300" w:lineRule="auto"/>
      </w:pPr>
      <w:r>
        <w:rPr>
          <w:rFonts w:ascii="Nimbus Sans" w:hAnsi="Nimbus Sans" w:eastAsia="Nimbus Sans" w:cs="Nimbus Sans"/>
          <w:b w:val="0"/>
          <w:i w:val="0"/>
          <w:color w:val="17243D"/>
          <w:sz w:val="19"/>
        </w:rPr>
        <w:t>Operadores, suboperadores e contratos</w:t>
      </w:r>
    </w:p>
    <w:p>
      <w:pPr>
        <w:numPr>
          <w:ilvl w:val="0"/>
          <w:numId w:val="10"/>
        </w:numPr>
        <w:spacing w:after="80" w:line="300" w:lineRule="auto"/>
      </w:pPr>
      <w:r>
        <w:rPr>
          <w:rFonts w:ascii="Nimbus Sans" w:hAnsi="Nimbus Sans" w:eastAsia="Nimbus Sans" w:cs="Nimbus Sans"/>
          <w:b w:val="0"/>
          <w:i w:val="0"/>
          <w:color w:val="17243D"/>
          <w:sz w:val="19"/>
        </w:rPr>
        <w:t>Transferência internacional</w:t>
      </w:r>
    </w:p>
    <w:p>
      <w:pPr>
        <w:numPr>
          <w:ilvl w:val="0"/>
          <w:numId w:val="10"/>
        </w:numPr>
        <w:spacing w:after="80" w:line="300" w:lineRule="auto"/>
      </w:pPr>
      <w:r>
        <w:rPr>
          <w:rFonts w:ascii="Nimbus Sans" w:hAnsi="Nimbus Sans" w:eastAsia="Nimbus Sans" w:cs="Nimbus Sans"/>
          <w:b w:val="0"/>
          <w:i w:val="0"/>
          <w:color w:val="17243D"/>
          <w:sz w:val="19"/>
        </w:rPr>
        <w:t>Retenção e eliminação</w:t>
      </w:r>
    </w:p>
    <w:p>
      <w:pPr>
        <w:numPr>
          <w:ilvl w:val="0"/>
          <w:numId w:val="10"/>
        </w:numPr>
        <w:spacing w:after="80" w:line="300" w:lineRule="auto"/>
      </w:pPr>
      <w:r>
        <w:rPr>
          <w:rFonts w:ascii="Nimbus Sans" w:hAnsi="Nimbus Sans" w:eastAsia="Nimbus Sans" w:cs="Nimbus Sans"/>
          <w:b w:val="0"/>
          <w:i w:val="0"/>
          <w:color w:val="17243D"/>
          <w:sz w:val="19"/>
        </w:rPr>
        <w:t>Segurança da informação</w:t>
      </w:r>
    </w:p>
    <w:p>
      <w:pPr>
        <w:numPr>
          <w:ilvl w:val="0"/>
          <w:numId w:val="10"/>
        </w:numPr>
        <w:spacing w:after="80" w:line="300" w:lineRule="auto"/>
      </w:pPr>
      <w:r>
        <w:rPr>
          <w:rFonts w:ascii="Nimbus Sans" w:hAnsi="Nimbus Sans" w:eastAsia="Nimbus Sans" w:cs="Nimbus Sans"/>
          <w:b w:val="0"/>
          <w:i w:val="0"/>
          <w:color w:val="17243D"/>
          <w:sz w:val="19"/>
        </w:rPr>
        <w:t>Incidentes de segurança</w:t>
      </w:r>
    </w:p>
    <w:p>
      <w:pPr>
        <w:numPr>
          <w:ilvl w:val="0"/>
          <w:numId w:val="10"/>
        </w:numPr>
        <w:spacing w:after="80" w:line="300" w:lineRule="auto"/>
      </w:pPr>
      <w:r>
        <w:rPr>
          <w:rFonts w:ascii="Nimbus Sans" w:hAnsi="Nimbus Sans" w:eastAsia="Nimbus Sans" w:cs="Nimbus Sans"/>
          <w:b w:val="0"/>
          <w:i w:val="0"/>
          <w:color w:val="17243D"/>
          <w:sz w:val="19"/>
        </w:rPr>
        <w:t>Cookies e tecnologias semelhantes</w:t>
      </w:r>
    </w:p>
    <w:p>
      <w:pPr>
        <w:numPr>
          <w:ilvl w:val="0"/>
          <w:numId w:val="10"/>
        </w:numPr>
        <w:spacing w:after="80" w:line="300" w:lineRule="auto"/>
      </w:pPr>
      <w:r>
        <w:rPr>
          <w:rFonts w:ascii="Nimbus Sans" w:hAnsi="Nimbus Sans" w:eastAsia="Nimbus Sans" w:cs="Nimbus Sans"/>
          <w:b w:val="0"/>
          <w:i w:val="0"/>
          <w:color w:val="17243D"/>
          <w:sz w:val="19"/>
        </w:rPr>
        <w:t>Publicidade e conteúdo patrocinado</w:t>
      </w:r>
    </w:p>
    <w:p>
      <w:pPr>
        <w:numPr>
          <w:ilvl w:val="0"/>
          <w:numId w:val="10"/>
        </w:numPr>
        <w:spacing w:after="80" w:line="300" w:lineRule="auto"/>
      </w:pPr>
      <w:r>
        <w:rPr>
          <w:rFonts w:ascii="Nimbus Sans" w:hAnsi="Nimbus Sans" w:eastAsia="Nimbus Sans" w:cs="Nimbus Sans"/>
          <w:b w:val="0"/>
          <w:i w:val="0"/>
          <w:color w:val="17243D"/>
          <w:sz w:val="19"/>
        </w:rPr>
        <w:t>Direitos das pessoas titulares</w:t>
      </w:r>
    </w:p>
    <w:p>
      <w:pPr>
        <w:numPr>
          <w:ilvl w:val="0"/>
          <w:numId w:val="10"/>
        </w:numPr>
        <w:spacing w:after="80" w:line="300" w:lineRule="auto"/>
      </w:pPr>
      <w:r>
        <w:rPr>
          <w:rFonts w:ascii="Nimbus Sans" w:hAnsi="Nimbus Sans" w:eastAsia="Nimbus Sans" w:cs="Nimbus Sans"/>
          <w:b w:val="0"/>
          <w:i w:val="0"/>
          <w:color w:val="17243D"/>
          <w:sz w:val="19"/>
        </w:rPr>
        <w:t>Crianças e adolescentes</w:t>
      </w:r>
    </w:p>
    <w:p>
      <w:pPr>
        <w:numPr>
          <w:ilvl w:val="0"/>
          <w:numId w:val="10"/>
        </w:numPr>
        <w:spacing w:after="80" w:line="300" w:lineRule="auto"/>
      </w:pPr>
      <w:r>
        <w:rPr>
          <w:rFonts w:ascii="Nimbus Sans" w:hAnsi="Nimbus Sans" w:eastAsia="Nimbus Sans" w:cs="Nimbus Sans"/>
          <w:b w:val="0"/>
          <w:i w:val="0"/>
          <w:color w:val="17243D"/>
          <w:sz w:val="19"/>
        </w:rPr>
        <w:t>Comunicações e preferências</w:t>
      </w:r>
    </w:p>
    <w:p>
      <w:pPr>
        <w:numPr>
          <w:ilvl w:val="0"/>
          <w:numId w:val="10"/>
        </w:numPr>
        <w:spacing w:after="80" w:line="300" w:lineRule="auto"/>
      </w:pPr>
      <w:r>
        <w:rPr>
          <w:rFonts w:ascii="Nimbus Sans" w:hAnsi="Nimbus Sans" w:eastAsia="Nimbus Sans" w:cs="Nimbus Sans"/>
          <w:b w:val="0"/>
          <w:i w:val="0"/>
          <w:color w:val="17243D"/>
          <w:sz w:val="19"/>
        </w:rPr>
        <w:t>Links e serviços de terceiros</w:t>
      </w:r>
    </w:p>
    <w:p>
      <w:pPr>
        <w:numPr>
          <w:ilvl w:val="0"/>
          <w:numId w:val="10"/>
        </w:numPr>
        <w:spacing w:after="80" w:line="300" w:lineRule="auto"/>
      </w:pPr>
      <w:r>
        <w:rPr>
          <w:rFonts w:ascii="Nimbus Sans" w:hAnsi="Nimbus Sans" w:eastAsia="Nimbus Sans" w:cs="Nimbus Sans"/>
          <w:b w:val="0"/>
          <w:i w:val="0"/>
          <w:color w:val="17243D"/>
          <w:sz w:val="19"/>
        </w:rPr>
        <w:t>Alterações desta Política</w:t>
      </w:r>
    </w:p>
    <w:p>
      <w:pPr>
        <w:numPr>
          <w:ilvl w:val="0"/>
          <w:numId w:val="10"/>
        </w:numPr>
        <w:spacing w:after="80" w:line="300" w:lineRule="auto"/>
      </w:pPr>
      <w:r>
        <w:rPr>
          <w:rFonts w:ascii="Nimbus Sans" w:hAnsi="Nimbus Sans" w:eastAsia="Nimbus Sans" w:cs="Nimbus Sans"/>
          <w:b w:val="0"/>
          <w:i w:val="0"/>
          <w:color w:val="17243D"/>
          <w:sz w:val="19"/>
        </w:rPr>
        <w:t>Contato e reclamações</w:t>
      </w:r>
    </w:p>
    <w:p>
      <w:pPr>
        <w:numPr>
          <w:ilvl w:val="0"/>
          <w:numId w:val="10"/>
        </w:numPr>
        <w:spacing w:after="80" w:line="300" w:lineRule="auto"/>
      </w:pPr>
      <w:r>
        <w:rPr>
          <w:rFonts w:ascii="Nimbus Sans" w:hAnsi="Nimbus Sans" w:eastAsia="Nimbus Sans" w:cs="Nimbus Sans"/>
          <w:b w:val="0"/>
          <w:i w:val="0"/>
          <w:color w:val="17243D"/>
          <w:sz w:val="19"/>
        </w:rPr>
        <w:t>Condições obrigatórias antes da publicação</w:t>
      </w:r>
    </w:p>
    <w:p>
      <w:pPr>
        <w:numPr>
          <w:ilvl w:val="0"/>
          <w:numId w:val="10"/>
        </w:numPr>
        <w:spacing w:after="80" w:line="300" w:lineRule="auto"/>
      </w:pPr>
      <w:r>
        <w:rPr>
          <w:rFonts w:ascii="Nimbus Sans" w:hAnsi="Nimbus Sans" w:eastAsia="Nimbus Sans" w:cs="Nimbus Sans"/>
          <w:b w:val="0"/>
          <w:i w:val="0"/>
          <w:color w:val="17243D"/>
          <w:sz w:val="19"/>
        </w:rPr>
        <w:t>Referências normativas de elaboração</w:t>
      </w:r>
    </w:p>
    <w:p>
      <w:r>
        <w:br w:type="page"/>
      </w:r>
    </w:p>
    <w:p>
      <w:pPr>
        <w:pStyle w:val="Heading1"/>
        <w:keepNext/>
      </w:pPr>
      <w:r>
        <w:rPr>
          <w:rFonts w:ascii="Nimbus Sans" w:hAnsi="Nimbus Sans" w:eastAsia="Nimbus Sans" w:cs="Nimbus Sans"/>
          <w:b w:val="0"/>
          <w:i w:val="0"/>
          <w:color w:val="20B2AA"/>
          <w:sz w:val="32"/>
        </w:rPr>
        <w:t>1. Objetivo e escopo</w:t>
      </w:r>
    </w:p>
    <w:p>
      <w:r>
        <w:rPr>
          <w:rFonts w:ascii="Nimbus Sans" w:hAnsi="Nimbus Sans" w:eastAsia="Nimbus Sans" w:cs="Nimbus Sans"/>
          <w:b w:val="0"/>
          <w:i w:val="0"/>
          <w:color w:val="191D17"/>
          <w:sz w:val="21"/>
        </w:rPr>
        <w:t xml:space="preserve">Esta Política explica como a JobForged trata dados pessoais no site </w:t>
      </w:r>
      <w:r>
        <w:rPr>
          <w:rFonts w:ascii="DejaVu Sans Mono" w:hAnsi="DejaVu Sans Mono" w:eastAsia="DejaVu Sans Mono" w:cs="DejaVu Sans Mono"/>
          <w:b w:val="0"/>
          <w:i w:val="0"/>
          <w:color w:val="17243D"/>
          <w:sz w:val="18"/>
        </w:rPr>
        <w:t>jobforged.com</w:t>
      </w:r>
      <w:r>
        <w:rPr>
          <w:rFonts w:ascii="Nimbus Sans" w:hAnsi="Nimbus Sans" w:eastAsia="Nimbus Sans" w:cs="Nimbus Sans"/>
          <w:b w:val="0"/>
          <w:i w:val="0"/>
          <w:color w:val="191D17"/>
          <w:sz w:val="21"/>
        </w:rPr>
        <w:t xml:space="preserve">, no portal de vagas planejado para </w:t>
      </w:r>
      <w:r>
        <w:rPr>
          <w:rFonts w:ascii="DejaVu Sans Mono" w:hAnsi="DejaVu Sans Mono" w:eastAsia="DejaVu Sans Mono" w:cs="DejaVu Sans Mono"/>
          <w:b w:val="0"/>
          <w:i w:val="0"/>
          <w:color w:val="17243D"/>
          <w:sz w:val="18"/>
        </w:rPr>
        <w:t>vagas.jobforged.com</w:t>
      </w:r>
      <w:r>
        <w:rPr>
          <w:rFonts w:ascii="Nimbus Sans" w:hAnsi="Nimbus Sans" w:eastAsia="Nimbus Sans" w:cs="Nimbus Sans"/>
          <w:b w:val="0"/>
          <w:i w:val="0"/>
          <w:color w:val="191D17"/>
          <w:sz w:val="21"/>
        </w:rPr>
        <w:t>, nos ambientes de recrutamento disponibilizados a empresas, em aplicativos, integrações, comunicações, suporte, demonstrações, eventos e demais pontos de contato que façam referência a esta Política.</w:t>
      </w:r>
    </w:p>
    <w:p>
      <w:r>
        <w:rPr>
          <w:rFonts w:ascii="Nimbus Sans" w:hAnsi="Nimbus Sans" w:eastAsia="Nimbus Sans" w:cs="Nimbus Sans"/>
          <w:b w:val="0"/>
          <w:i w:val="0"/>
          <w:color w:val="191D17"/>
          <w:sz w:val="21"/>
        </w:rPr>
        <w:t>A JobForged é concebida como uma plataforma tecnológica de recrutamento e seleção. Seus serviços podem incluir, conforme o plano, a configuração e o estágio de disponibilização: páginas e publicação de vagas, candidaturas, banco de talentos, gestão de candidatos, listas e Kanban, avaliações, entrevistas, mensagens, WhatsApp, agenda, automações, integrações, inteligência artificial assistiva, analytics, pagamentos, publicidade e cookies.</w:t>
      </w:r>
    </w:p>
    <w:p>
      <w:r>
        <w:rPr>
          <w:rFonts w:ascii="Nimbus Sans" w:hAnsi="Nimbus Sans" w:eastAsia="Nimbus Sans" w:cs="Nimbus Sans"/>
          <w:b w:val="0"/>
          <w:i w:val="0"/>
          <w:color w:val="191D17"/>
          <w:sz w:val="21"/>
        </w:rPr>
        <w:t>Esta descrição não significa que todos os recursos estejam ativos para todas as pessoas ou contas. A funcionalidade disponível é exclusivamente aquela exibida, contratada ou habilitada no ambiente correspondente. Recursos em planejamento, piloto, beta, acesso antecipado ou dependentes de terceiros devem ser identificados dessa forma.</w:t>
      </w:r>
    </w:p>
    <w:p>
      <w:pPr>
        <w:pStyle w:val="Heading1"/>
        <w:keepNext/>
      </w:pPr>
      <w:r>
        <w:rPr>
          <w:rFonts w:ascii="Nimbus Sans" w:hAnsi="Nimbus Sans" w:eastAsia="Nimbus Sans" w:cs="Nimbus Sans"/>
          <w:b w:val="0"/>
          <w:i w:val="0"/>
          <w:color w:val="20B2AA"/>
          <w:sz w:val="32"/>
        </w:rPr>
        <w:t>2. A quem esta Política se aplica</w:t>
      </w:r>
    </w:p>
    <w:p>
      <w:r>
        <w:rPr>
          <w:rFonts w:ascii="Nimbus Sans" w:hAnsi="Nimbus Sans" w:eastAsia="Nimbus Sans" w:cs="Nimbus Sans"/>
          <w:b w:val="0"/>
          <w:i w:val="0"/>
          <w:color w:val="191D17"/>
          <w:sz w:val="21"/>
        </w:rPr>
        <w:t>Esta Política se aplica a:</w:t>
      </w:r>
    </w:p>
    <w:p>
      <w:pPr>
        <w:pStyle w:val="ListBullet"/>
      </w:pPr>
      <w:r>
        <w:rPr>
          <w:rFonts w:ascii="Nimbus Sans" w:hAnsi="Nimbus Sans" w:eastAsia="Nimbus Sans" w:cs="Nimbus Sans"/>
          <w:b w:val="0"/>
          <w:i w:val="0"/>
          <w:color w:val="191D17"/>
          <w:sz w:val="21"/>
        </w:rPr>
        <w:t xml:space="preserve"> visitantes dos sites e páginas públicas;</w:t>
      </w:r>
    </w:p>
    <w:p>
      <w:pPr>
        <w:pStyle w:val="ListBullet"/>
      </w:pPr>
      <w:r>
        <w:rPr>
          <w:rFonts w:ascii="Nimbus Sans" w:hAnsi="Nimbus Sans" w:eastAsia="Nimbus Sans" w:cs="Nimbus Sans"/>
          <w:b w:val="0"/>
          <w:i w:val="0"/>
          <w:color w:val="191D17"/>
          <w:sz w:val="21"/>
        </w:rPr>
        <w:t xml:space="preserve"> pessoas candidatas, integrantes de banco de talentos ou interessadas em oportunidades;</w:t>
      </w:r>
    </w:p>
    <w:p>
      <w:pPr>
        <w:pStyle w:val="ListBullet"/>
      </w:pPr>
      <w:r>
        <w:rPr>
          <w:rFonts w:ascii="Nimbus Sans" w:hAnsi="Nimbus Sans" w:eastAsia="Nimbus Sans" w:cs="Nimbus Sans"/>
          <w:b w:val="0"/>
          <w:i w:val="0"/>
          <w:color w:val="191D17"/>
          <w:sz w:val="21"/>
        </w:rPr>
        <w:t xml:space="preserve"> representantes, administradores, recrutadores, gestores e demais usuários de empresas clientes;</w:t>
      </w:r>
    </w:p>
    <w:p>
      <w:pPr>
        <w:pStyle w:val="ListBullet"/>
      </w:pPr>
      <w:r>
        <w:rPr>
          <w:rFonts w:ascii="Nimbus Sans" w:hAnsi="Nimbus Sans" w:eastAsia="Nimbus Sans" w:cs="Nimbus Sans"/>
          <w:b w:val="0"/>
          <w:i w:val="0"/>
          <w:color w:val="191D17"/>
          <w:sz w:val="21"/>
        </w:rPr>
        <w:t xml:space="preserve"> consultorias, parceiros, fornecedores, anunciantes e contatos comerciais;</w:t>
      </w:r>
    </w:p>
    <w:p>
      <w:pPr>
        <w:pStyle w:val="ListBullet"/>
      </w:pPr>
      <w:r>
        <w:rPr>
          <w:rFonts w:ascii="Nimbus Sans" w:hAnsi="Nimbus Sans" w:eastAsia="Nimbus Sans" w:cs="Nimbus Sans"/>
          <w:b w:val="0"/>
          <w:i w:val="0"/>
          <w:color w:val="191D17"/>
          <w:sz w:val="21"/>
        </w:rPr>
        <w:t xml:space="preserve"> pessoas que solicitem suporte, demonstração, conteúdo ou informações;</w:t>
      </w:r>
    </w:p>
    <w:p>
      <w:pPr>
        <w:pStyle w:val="ListBullet"/>
      </w:pPr>
      <w:r>
        <w:rPr>
          <w:rFonts w:ascii="Nimbus Sans" w:hAnsi="Nimbus Sans" w:eastAsia="Nimbus Sans" w:cs="Nimbus Sans"/>
          <w:b w:val="0"/>
          <w:i w:val="0"/>
          <w:color w:val="191D17"/>
          <w:sz w:val="21"/>
        </w:rPr>
        <w:t xml:space="preserve"> usuários de integrações autorizadas.</w:t>
      </w:r>
    </w:p>
    <w:p>
      <w:r>
        <w:rPr>
          <w:rFonts w:ascii="Nimbus Sans" w:hAnsi="Nimbus Sans" w:eastAsia="Nimbus Sans" w:cs="Nimbus Sans"/>
          <w:b w:val="0"/>
          <w:i w:val="0"/>
          <w:color w:val="191D17"/>
          <w:sz w:val="21"/>
        </w:rPr>
        <w:t>Esta Política não substitui os avisos de privacidade de cada empresa contratante. A empresa que conduz o recrutamento deve informar suas próprias finalidades, bases legais, prazos e compartilhamentos quando atuar como controladora.</w:t>
      </w:r>
    </w:p>
    <w:p>
      <w:pPr>
        <w:pStyle w:val="Heading1"/>
        <w:keepNext/>
      </w:pPr>
      <w:r>
        <w:rPr>
          <w:rFonts w:ascii="Nimbus Sans" w:hAnsi="Nimbus Sans" w:eastAsia="Nimbus Sans" w:cs="Nimbus Sans"/>
          <w:b w:val="0"/>
          <w:i w:val="0"/>
          <w:color w:val="20B2AA"/>
          <w:sz w:val="32"/>
        </w:rPr>
        <w:t>3. Papéis e responsabilidades na LGPD</w:t>
      </w:r>
    </w:p>
    <w:p>
      <w:r>
        <w:rPr>
          <w:rFonts w:ascii="Nimbus Sans" w:hAnsi="Nimbus Sans" w:eastAsia="Nimbus Sans" w:cs="Nimbus Sans"/>
          <w:b w:val="0"/>
          <w:i w:val="0"/>
          <w:color w:val="191D17"/>
          <w:sz w:val="21"/>
        </w:rPr>
        <w:t>Os papéis dependem da finalidade e do grau de decisão de cada parte:</w:t>
      </w:r>
    </w:p>
    <w:p>
      <w:pPr>
        <w:pStyle w:val="ListBullet"/>
      </w:pPr>
      <w:r>
        <w:rPr>
          <w:rFonts w:ascii="Nimbus Sans" w:hAnsi="Nimbus Sans" w:eastAsia="Nimbus Sans" w:cs="Nimbus Sans"/>
          <w:b w:val="0"/>
          <w:i w:val="0"/>
          <w:color w:val="191D17"/>
          <w:sz w:val="21"/>
        </w:rPr>
        <w:t xml:space="preserve"> </w:t>
      </w:r>
      <w:r>
        <w:rPr>
          <w:rFonts w:ascii="Nimbus Sans" w:hAnsi="Nimbus Sans" w:eastAsia="Nimbus Sans" w:cs="Nimbus Sans"/>
          <w:b/>
          <w:i w:val="0"/>
          <w:color w:val="191D17"/>
          <w:sz w:val="21"/>
        </w:rPr>
        <w:t>JobForged como controladora:</w:t>
      </w:r>
      <w:r>
        <w:rPr>
          <w:rFonts w:ascii="Nimbus Sans" w:hAnsi="Nimbus Sans" w:eastAsia="Nimbus Sans" w:cs="Nimbus Sans"/>
          <w:b w:val="0"/>
          <w:i w:val="0"/>
          <w:color w:val="191D17"/>
          <w:sz w:val="21"/>
        </w:rPr>
        <w:t xml:space="preserve"> em regra, decide sobre tratamentos necessários à criação e administração da conta, segurança, prevenção a fraude, suporte, faturamento, relacionamento comercial, operação do site e portal agregado, preferências de cookies, publicidade própria, métricas da plataforma, cumprimento legal e defesa de direitos.</w:t>
      </w:r>
    </w:p>
    <w:p>
      <w:pPr>
        <w:pStyle w:val="ListBullet"/>
      </w:pPr>
      <w:r>
        <w:rPr>
          <w:rFonts w:ascii="Nimbus Sans" w:hAnsi="Nimbus Sans" w:eastAsia="Nimbus Sans" w:cs="Nimbus Sans"/>
          <w:b w:val="0"/>
          <w:i w:val="0"/>
          <w:color w:val="191D17"/>
          <w:sz w:val="21"/>
        </w:rPr>
        <w:t xml:space="preserve"> </w:t>
      </w:r>
      <w:r>
        <w:rPr>
          <w:rFonts w:ascii="Nimbus Sans" w:hAnsi="Nimbus Sans" w:eastAsia="Nimbus Sans" w:cs="Nimbus Sans"/>
          <w:b/>
          <w:i w:val="0"/>
          <w:color w:val="191D17"/>
          <w:sz w:val="21"/>
        </w:rPr>
        <w:t>Empresa cliente como controladora:</w:t>
      </w:r>
      <w:r>
        <w:rPr>
          <w:rFonts w:ascii="Nimbus Sans" w:hAnsi="Nimbus Sans" w:eastAsia="Nimbus Sans" w:cs="Nimbus Sans"/>
          <w:b w:val="0"/>
          <w:i w:val="0"/>
          <w:color w:val="191D17"/>
          <w:sz w:val="21"/>
        </w:rPr>
        <w:t xml:space="preserve"> em regra, decide sobre abertura da vaga, critérios, recebimento de candidaturas, triagem, entrevistas, avaliações, comunicações, banco de talentos e decisão de contratação.</w:t>
      </w:r>
    </w:p>
    <w:p>
      <w:pPr>
        <w:pStyle w:val="ListBullet"/>
      </w:pPr>
      <w:r>
        <w:rPr>
          <w:rFonts w:ascii="Nimbus Sans" w:hAnsi="Nimbus Sans" w:eastAsia="Nimbus Sans" w:cs="Nimbus Sans"/>
          <w:b w:val="0"/>
          <w:i w:val="0"/>
          <w:color w:val="191D17"/>
          <w:sz w:val="21"/>
        </w:rPr>
        <w:t xml:space="preserve"> </w:t>
      </w:r>
      <w:r>
        <w:rPr>
          <w:rFonts w:ascii="Nimbus Sans" w:hAnsi="Nimbus Sans" w:eastAsia="Nimbus Sans" w:cs="Nimbus Sans"/>
          <w:b/>
          <w:i w:val="0"/>
          <w:color w:val="191D17"/>
          <w:sz w:val="21"/>
        </w:rPr>
        <w:t>JobForged como operadora:</w:t>
      </w:r>
      <w:r>
        <w:rPr>
          <w:rFonts w:ascii="Nimbus Sans" w:hAnsi="Nimbus Sans" w:eastAsia="Nimbus Sans" w:cs="Nimbus Sans"/>
          <w:b w:val="0"/>
          <w:i w:val="0"/>
          <w:color w:val="191D17"/>
          <w:sz w:val="21"/>
        </w:rPr>
        <w:t xml:space="preserve"> quando trata dados de candidatos em nome e segundo instruções documentadas da empresa cliente, dentro do serviço contratado.</w:t>
      </w:r>
    </w:p>
    <w:p>
      <w:pPr>
        <w:pStyle w:val="ListBullet"/>
      </w:pPr>
      <w:r>
        <w:rPr>
          <w:rFonts w:ascii="Nimbus Sans" w:hAnsi="Nimbus Sans" w:eastAsia="Nimbus Sans" w:cs="Nimbus Sans"/>
          <w:b w:val="0"/>
          <w:i w:val="0"/>
          <w:color w:val="191D17"/>
          <w:sz w:val="21"/>
        </w:rPr>
        <w:t xml:space="preserve"> </w:t>
      </w:r>
      <w:r>
        <w:rPr>
          <w:rFonts w:ascii="Nimbus Sans" w:hAnsi="Nimbus Sans" w:eastAsia="Nimbus Sans" w:cs="Nimbus Sans"/>
          <w:b/>
          <w:i w:val="0"/>
          <w:color w:val="191D17"/>
          <w:sz w:val="21"/>
        </w:rPr>
        <w:t>Controladoria independente ou conjunta:</w:t>
      </w:r>
      <w:r>
        <w:rPr>
          <w:rFonts w:ascii="Nimbus Sans" w:hAnsi="Nimbus Sans" w:eastAsia="Nimbus Sans" w:cs="Nimbus Sans"/>
          <w:b w:val="0"/>
          <w:i w:val="0"/>
          <w:color w:val="191D17"/>
          <w:sz w:val="21"/>
        </w:rPr>
        <w:t xml:space="preserve"> poderá existir quando duas partes decidirem, de forma efetiva, finalidades e elementos essenciais do mesmo tratamento. A qualificação não será presumida; deverá refletir a operação e ser registrada contratualmente.</w:t>
      </w:r>
    </w:p>
    <w:p>
      <w:r>
        <w:rPr>
          <w:rFonts w:ascii="Nimbus Sans" w:hAnsi="Nimbus Sans" w:eastAsia="Nimbus Sans" w:cs="Nimbus Sans"/>
          <w:b w:val="0"/>
          <w:i w:val="0"/>
          <w:color w:val="191D17"/>
          <w:sz w:val="21"/>
        </w:rPr>
        <w:t>Se uma pessoa candidata quiser exercer direito ligado a uma seleção específica, a JobForged poderá encaminhar a solicitação à empresa controladora ou cooperar com ela. Quando o tratamento for próprio da JobForged, a solicitação será atendida diretamente por seu canal de privacidade.</w:t>
      </w:r>
    </w:p>
    <w:p>
      <w:pPr>
        <w:pStyle w:val="Heading1"/>
        <w:keepNext/>
      </w:pPr>
      <w:r>
        <w:rPr>
          <w:rFonts w:ascii="Nimbus Sans" w:hAnsi="Nimbus Sans" w:eastAsia="Nimbus Sans" w:cs="Nimbus Sans"/>
          <w:b w:val="0"/>
          <w:i w:val="0"/>
          <w:color w:val="20B2AA"/>
          <w:sz w:val="32"/>
        </w:rPr>
        <w:t>4. Dados pessoais que podem ser tratados</w:t>
      </w:r>
    </w:p>
    <w:p>
      <w:pPr>
        <w:pStyle w:val="Heading2"/>
        <w:keepNext/>
      </w:pPr>
      <w:r>
        <w:rPr>
          <w:rFonts w:ascii="Nimbus Sans" w:hAnsi="Nimbus Sans" w:eastAsia="Nimbus Sans" w:cs="Nimbus Sans"/>
          <w:b w:val="0"/>
          <w:i w:val="0"/>
          <w:color w:val="17243D"/>
          <w:sz w:val="26"/>
        </w:rPr>
        <w:t>4.1 Identificação, contato e conta</w:t>
      </w:r>
    </w:p>
    <w:p>
      <w:r>
        <w:rPr>
          <w:rFonts w:ascii="Nimbus Sans" w:hAnsi="Nimbus Sans" w:eastAsia="Nimbus Sans" w:cs="Nimbus Sans"/>
          <w:b w:val="0"/>
          <w:i w:val="0"/>
          <w:color w:val="191D17"/>
          <w:sz w:val="21"/>
        </w:rPr>
        <w:t>Nome, nome social quando informado, e-mail, telefone, endereço, cidade, data de nascimento quando necessária, documento de identificação quando legalmente justificado, fotografia, empresa, cargo, credenciais, autenticação, permissões, preferências e histórico da conta.</w:t>
      </w:r>
    </w:p>
    <w:p>
      <w:pPr>
        <w:pStyle w:val="Heading2"/>
        <w:keepNext/>
      </w:pPr>
      <w:r>
        <w:rPr>
          <w:rFonts w:ascii="Nimbus Sans" w:hAnsi="Nimbus Sans" w:eastAsia="Nimbus Sans" w:cs="Nimbus Sans"/>
          <w:b w:val="0"/>
          <w:i w:val="0"/>
          <w:color w:val="17243D"/>
          <w:sz w:val="26"/>
        </w:rPr>
        <w:t>4.2 Perfil profissional e candidatura</w:t>
      </w:r>
    </w:p>
    <w:p>
      <w:r>
        <w:rPr>
          <w:rFonts w:ascii="Nimbus Sans" w:hAnsi="Nimbus Sans" w:eastAsia="Nimbus Sans" w:cs="Nimbus Sans"/>
          <w:b w:val="0"/>
          <w:i w:val="0"/>
          <w:color w:val="191D17"/>
          <w:sz w:val="21"/>
        </w:rPr>
        <w:t>Currículo, experiências, formação, competências, idiomas, portfólio, links profissionais, pretensão, disponibilidade, localização, respostas a perguntas, documentos enviados, vagas visualizadas, candidaturas, etapas, histórico, status e origem da candidatura.</w:t>
      </w:r>
    </w:p>
    <w:p>
      <w:pPr>
        <w:pStyle w:val="Heading2"/>
        <w:keepNext/>
      </w:pPr>
      <w:r>
        <w:rPr>
          <w:rFonts w:ascii="Nimbus Sans" w:hAnsi="Nimbus Sans" w:eastAsia="Nimbus Sans" w:cs="Nimbus Sans"/>
          <w:b w:val="0"/>
          <w:i w:val="0"/>
          <w:color w:val="17243D"/>
          <w:sz w:val="26"/>
        </w:rPr>
        <w:t>4.3 Avaliações, entrevistas e comunicações</w:t>
      </w:r>
    </w:p>
    <w:p>
      <w:r>
        <w:rPr>
          <w:rFonts w:ascii="Nimbus Sans" w:hAnsi="Nimbus Sans" w:eastAsia="Nimbus Sans" w:cs="Nimbus Sans"/>
          <w:b w:val="0"/>
          <w:i w:val="0"/>
          <w:color w:val="191D17"/>
          <w:sz w:val="21"/>
        </w:rPr>
        <w:t>Notas, scorecards, pareceres, respostas, mensagens, e-mails, registros de atendimento, confirmações, agenda e metadados de interação. Áudio, vídeo, transcrição ou gravação somente poderão ser tratados quando o recurso estiver habilitado, houver aviso específico e existir base legal adequada.</w:t>
      </w:r>
    </w:p>
    <w:p>
      <w:pPr>
        <w:pStyle w:val="Heading2"/>
        <w:keepNext/>
      </w:pPr>
      <w:r>
        <w:rPr>
          <w:rFonts w:ascii="Nimbus Sans" w:hAnsi="Nimbus Sans" w:eastAsia="Nimbus Sans" w:cs="Nimbus Sans"/>
          <w:b w:val="0"/>
          <w:i w:val="0"/>
          <w:color w:val="17243D"/>
          <w:sz w:val="26"/>
        </w:rPr>
        <w:t>4.4 Dados empresariais, comerciais e financeiros</w:t>
      </w:r>
    </w:p>
    <w:p>
      <w:r>
        <w:rPr>
          <w:rFonts w:ascii="Nimbus Sans" w:hAnsi="Nimbus Sans" w:eastAsia="Nimbus Sans" w:cs="Nimbus Sans"/>
          <w:b w:val="0"/>
          <w:i w:val="0"/>
          <w:color w:val="191D17"/>
          <w:sz w:val="21"/>
        </w:rPr>
        <w:t>Dados de representantes e usuários, CNPJ e informações cadastrais da empresa, plano, contrato, suporte, cobrança, notas fiscais, meio e status de pagamento. Dados completos de cartão devem ser processados por provedor de pagamento habilitado, quando adotado, e não precisam ser armazenados diretamente pela JobForged.</w:t>
      </w:r>
    </w:p>
    <w:p>
      <w:pPr>
        <w:pStyle w:val="Heading2"/>
        <w:keepNext/>
      </w:pPr>
      <w:r>
        <w:rPr>
          <w:rFonts w:ascii="Nimbus Sans" w:hAnsi="Nimbus Sans" w:eastAsia="Nimbus Sans" w:cs="Nimbus Sans"/>
          <w:b w:val="0"/>
          <w:i w:val="0"/>
          <w:color w:val="17243D"/>
          <w:sz w:val="26"/>
        </w:rPr>
        <w:t>4.5 Dados técnicos, de uso e segurança</w:t>
      </w:r>
    </w:p>
    <w:p>
      <w:r>
        <w:rPr>
          <w:rFonts w:ascii="Nimbus Sans" w:hAnsi="Nimbus Sans" w:eastAsia="Nimbus Sans" w:cs="Nimbus Sans"/>
          <w:b w:val="0"/>
          <w:i w:val="0"/>
          <w:color w:val="191D17"/>
          <w:sz w:val="21"/>
        </w:rPr>
        <w:t>Endereço IP, data e hora, dispositivo, navegador, sistema operacional, identificadores, páginas e ações, logs de acesso, falhas, eventos de auditoria, cookies, preferências, dados aproximados de localização derivados do IP e sinais de fraude ou abuso.</w:t>
      </w:r>
    </w:p>
    <w:p>
      <w:pPr>
        <w:pStyle w:val="Heading2"/>
        <w:keepNext/>
      </w:pPr>
      <w:r>
        <w:rPr>
          <w:rFonts w:ascii="Nimbus Sans" w:hAnsi="Nimbus Sans" w:eastAsia="Nimbus Sans" w:cs="Nimbus Sans"/>
          <w:b w:val="0"/>
          <w:i w:val="0"/>
          <w:color w:val="17243D"/>
          <w:sz w:val="26"/>
        </w:rPr>
        <w:t>4.6 Dados de publicidade e medição</w:t>
      </w:r>
    </w:p>
    <w:p>
      <w:r>
        <w:rPr>
          <w:rFonts w:ascii="Nimbus Sans" w:hAnsi="Nimbus Sans" w:eastAsia="Nimbus Sans" w:cs="Nimbus Sans"/>
          <w:b w:val="0"/>
          <w:i w:val="0"/>
          <w:color w:val="191D17"/>
          <w:sz w:val="21"/>
        </w:rPr>
        <w:t>Identificadores de cookies e dispositivos, impressão e interação com anúncios, origem de campanha, conversão e segmentos de audiência, quando publicidade ou medição estiverem habilitadas e observadas as escolhas aplicáveis.</w:t>
      </w:r>
    </w:p>
    <w:p>
      <w:pPr>
        <w:pStyle w:val="Heading1"/>
        <w:keepNext/>
      </w:pPr>
      <w:r>
        <w:rPr>
          <w:rFonts w:ascii="Nimbus Sans" w:hAnsi="Nimbus Sans" w:eastAsia="Nimbus Sans" w:cs="Nimbus Sans"/>
          <w:b w:val="0"/>
          <w:i w:val="0"/>
          <w:color w:val="20B2AA"/>
          <w:sz w:val="32"/>
        </w:rPr>
        <w:t>5. Dados sensíveis e informações desnecessárias</w:t>
      </w:r>
    </w:p>
    <w:p>
      <w:r>
        <w:rPr>
          <w:rFonts w:ascii="Nimbus Sans" w:hAnsi="Nimbus Sans" w:eastAsia="Nimbus Sans" w:cs="Nimbus Sans"/>
          <w:b w:val="0"/>
          <w:i w:val="0"/>
          <w:color w:val="191D17"/>
          <w:sz w:val="21"/>
        </w:rPr>
        <w:t>A JobForged não incentiva a inclusão de dados pessoais sensíveis em currículos, mensagens ou campos livres. Informações sobre origem racial ou étnica, convicção religiosa, opinião política, filiação sindical, saúde, vida sexual, genética ou biometria somente devem ser tratadas quando estritamente necessárias, lícitas, proporcionais e protegidas por base legal específica.</w:t>
      </w:r>
    </w:p>
    <w:p>
      <w:r>
        <w:rPr>
          <w:rFonts w:ascii="Nimbus Sans" w:hAnsi="Nimbus Sans" w:eastAsia="Nimbus Sans" w:cs="Nimbus Sans"/>
          <w:b w:val="0"/>
          <w:i w:val="0"/>
          <w:color w:val="191D17"/>
          <w:sz w:val="21"/>
        </w:rPr>
        <w:t>Empresas clientes não devem solicitar dados sensíveis ou critérios discriminatórios sem justificativa legal. A JobForged poderá bloquear campos, restringir acesso, redigir, excluir ou solicitar a remoção de conteúdo inadequado. Informações voluntariamente inseridas pela pessoa não se tornam automaticamente necessárias nem autorizam uso incompatível.</w:t>
      </w:r>
    </w:p>
    <w:p>
      <w:r>
        <w:rPr>
          <w:rFonts w:ascii="Nimbus Sans" w:hAnsi="Nimbus Sans" w:eastAsia="Nimbus Sans" w:cs="Nimbus Sans"/>
          <w:b w:val="0"/>
          <w:i w:val="0"/>
          <w:color w:val="191D17"/>
          <w:sz w:val="21"/>
        </w:rPr>
        <w:t>Métricas de diversidade e inclusão, se habilitadas, devem usar coleta voluntária ou outra base legal válida, acesso restrito, finalidade legítima, agregação sempre que possível e separação da decisão individual.</w:t>
      </w:r>
    </w:p>
    <w:p>
      <w:pPr>
        <w:pStyle w:val="Heading1"/>
        <w:keepNext/>
      </w:pPr>
      <w:r>
        <w:rPr>
          <w:rFonts w:ascii="Nimbus Sans" w:hAnsi="Nimbus Sans" w:eastAsia="Nimbus Sans" w:cs="Nimbus Sans"/>
          <w:b w:val="0"/>
          <w:i w:val="0"/>
          <w:color w:val="20B2AA"/>
          <w:sz w:val="32"/>
        </w:rPr>
        <w:t>6. Origem dos dados</w:t>
      </w:r>
    </w:p>
    <w:p>
      <w:r>
        <w:rPr>
          <w:rFonts w:ascii="Nimbus Sans" w:hAnsi="Nimbus Sans" w:eastAsia="Nimbus Sans" w:cs="Nimbus Sans"/>
          <w:b w:val="0"/>
          <w:i w:val="0"/>
          <w:color w:val="191D17"/>
          <w:sz w:val="21"/>
        </w:rPr>
        <w:t>Os dados podem ser obtidos:</w:t>
      </w:r>
    </w:p>
    <w:p>
      <w:pPr>
        <w:pStyle w:val="ListBullet"/>
      </w:pPr>
      <w:r>
        <w:rPr>
          <w:rFonts w:ascii="Nimbus Sans" w:hAnsi="Nimbus Sans" w:eastAsia="Nimbus Sans" w:cs="Nimbus Sans"/>
          <w:b w:val="0"/>
          <w:i w:val="0"/>
          <w:color w:val="191D17"/>
          <w:sz w:val="21"/>
        </w:rPr>
        <w:t xml:space="preserve"> diretamente da pessoa titular;</w:t>
      </w:r>
    </w:p>
    <w:p>
      <w:pPr>
        <w:pStyle w:val="ListBullet"/>
      </w:pPr>
      <w:r>
        <w:rPr>
          <w:rFonts w:ascii="Nimbus Sans" w:hAnsi="Nimbus Sans" w:eastAsia="Nimbus Sans" w:cs="Nimbus Sans"/>
          <w:b w:val="0"/>
          <w:i w:val="0"/>
          <w:color w:val="191D17"/>
          <w:sz w:val="21"/>
        </w:rPr>
        <w:t xml:space="preserve"> da empresa cliente ou usuário autorizado;</w:t>
      </w:r>
    </w:p>
    <w:p>
      <w:pPr>
        <w:pStyle w:val="ListBullet"/>
      </w:pPr>
      <w:r>
        <w:rPr>
          <w:rFonts w:ascii="Nimbus Sans" w:hAnsi="Nimbus Sans" w:eastAsia="Nimbus Sans" w:cs="Nimbus Sans"/>
          <w:b w:val="0"/>
          <w:i w:val="0"/>
          <w:color w:val="191D17"/>
          <w:sz w:val="21"/>
        </w:rPr>
        <w:t xml:space="preserve"> de integrações escolhidas e autorizadas;</w:t>
      </w:r>
    </w:p>
    <w:p>
      <w:pPr>
        <w:pStyle w:val="ListBullet"/>
      </w:pPr>
      <w:r>
        <w:rPr>
          <w:rFonts w:ascii="Nimbus Sans" w:hAnsi="Nimbus Sans" w:eastAsia="Nimbus Sans" w:cs="Nimbus Sans"/>
          <w:b w:val="0"/>
          <w:i w:val="0"/>
          <w:color w:val="191D17"/>
          <w:sz w:val="21"/>
        </w:rPr>
        <w:t xml:space="preserve"> de cookies, logs e uso do serviço;</w:t>
      </w:r>
    </w:p>
    <w:p>
      <w:pPr>
        <w:pStyle w:val="ListBullet"/>
      </w:pPr>
      <w:r>
        <w:rPr>
          <w:rFonts w:ascii="Nimbus Sans" w:hAnsi="Nimbus Sans" w:eastAsia="Nimbus Sans" w:cs="Nimbus Sans"/>
          <w:b w:val="0"/>
          <w:i w:val="0"/>
          <w:color w:val="191D17"/>
          <w:sz w:val="21"/>
        </w:rPr>
        <w:t xml:space="preserve"> de parceiros, indicações e fornecedores;</w:t>
      </w:r>
    </w:p>
    <w:p>
      <w:pPr>
        <w:pStyle w:val="ListBullet"/>
      </w:pPr>
      <w:r>
        <w:rPr>
          <w:rFonts w:ascii="Nimbus Sans" w:hAnsi="Nimbus Sans" w:eastAsia="Nimbus Sans" w:cs="Nimbus Sans"/>
          <w:b w:val="0"/>
          <w:i w:val="0"/>
          <w:color w:val="191D17"/>
          <w:sz w:val="21"/>
        </w:rPr>
        <w:t xml:space="preserve"> de fontes públicas ou legitimamente acessíveis, apenas quando a coleta e o uso forem compatíveis com a LGPD e as expectativas da pessoa.</w:t>
      </w:r>
    </w:p>
    <w:p>
      <w:r>
        <w:rPr>
          <w:rFonts w:ascii="Nimbus Sans" w:hAnsi="Nimbus Sans" w:eastAsia="Nimbus Sans" w:cs="Nimbus Sans"/>
          <w:b w:val="0"/>
          <w:i w:val="0"/>
          <w:color w:val="191D17"/>
          <w:sz w:val="21"/>
        </w:rPr>
        <w:t>A empresa que importar currículos, listas ou dados de terceiros declara possuir autorização, base legal e transparência adequadas. A JobForged poderá solicitar evidências e interromper importações que apresentem risco.</w:t>
      </w:r>
    </w:p>
    <w:p>
      <w:pPr>
        <w:pStyle w:val="Heading1"/>
        <w:keepNext/>
      </w:pPr>
      <w:r>
        <w:rPr>
          <w:rFonts w:ascii="Nimbus Sans" w:hAnsi="Nimbus Sans" w:eastAsia="Nimbus Sans" w:cs="Nimbus Sans"/>
          <w:b w:val="0"/>
          <w:i w:val="0"/>
          <w:color w:val="20B2AA"/>
          <w:sz w:val="32"/>
        </w:rPr>
        <w:t>7. Finalidades e bases legais</w:t>
      </w:r>
    </w:p>
    <w:p>
      <w:r>
        <w:rPr>
          <w:rFonts w:ascii="Nimbus Sans" w:hAnsi="Nimbus Sans" w:eastAsia="Nimbus Sans" w:cs="Nimbus Sans"/>
          <w:b w:val="0"/>
          <w:i w:val="0"/>
          <w:color w:val="191D17"/>
          <w:sz w:val="21"/>
        </w:rPr>
        <w:t>As bases abaixo são indicativas e precisam corresponder ao fluxo real:</w:t>
      </w:r>
    </w:p>
    <w:tbl>
      <w:tblPr>
        <w:tblStyle w:val="TableGrid"/>
        <w:tblW w:type="dxa" w:w="9360"/>
        <w:jc w:val="left"/>
        <w:tblLayout w:type="fixed"/>
        <w:tblLook w:firstColumn="1" w:firstRow="1" w:lastColumn="0" w:lastRow="0" w:noHBand="0" w:noVBand="1" w:val="04A0"/>
        <w:tblInd w:w="120" w:type="dxa"/>
      </w:tblPr>
      <w:tblGrid>
        <w:gridCol w:w="2150"/>
        <w:gridCol w:w="3350"/>
        <w:gridCol w:w="3860"/>
      </w:tblGrid>
      <w:tr>
        <w:trPr>
          <w:cantSplit w:val="true"/>
          <w:tblHeader w:val="true"/>
        </w:trPr>
        <w:tc>
          <w:tcPr>
            <w:tcW w:type="dxa" w:w="2150"/>
            <w:vAlign w:val="top"/>
            <w:shd w:fill="17243D"/>
            <w:tcMar>
              <w:top w:w="100" w:type="dxa"/>
              <w:start w:w="120" w:type="dxa"/>
              <w:bottom w:w="100" w:type="dxa"/>
              <w:end w:w="120" w:type="dxa"/>
            </w:tcMar>
          </w:tcPr>
          <w:p>
            <w:pPr>
              <w:spacing w:after="0"/>
            </w:pPr>
            <w:r>
              <w:rPr>
                <w:rFonts w:ascii="Nimbus Sans" w:hAnsi="Nimbus Sans" w:eastAsia="Nimbus Sans" w:cs="Nimbus Sans"/>
                <w:b/>
                <w:i w:val="0"/>
                <w:color w:val="FFFFFF"/>
                <w:sz w:val="17"/>
              </w:rPr>
              <w:t>Finalidade</w:t>
            </w:r>
          </w:p>
        </w:tc>
        <w:tc>
          <w:tcPr>
            <w:tcW w:type="dxa" w:w="3350"/>
            <w:vAlign w:val="top"/>
            <w:shd w:fill="17243D"/>
            <w:tcMar>
              <w:top w:w="100" w:type="dxa"/>
              <w:start w:w="120" w:type="dxa"/>
              <w:bottom w:w="100" w:type="dxa"/>
              <w:end w:w="120" w:type="dxa"/>
            </w:tcMar>
          </w:tcPr>
          <w:p>
            <w:pPr>
              <w:spacing w:after="0"/>
            </w:pPr>
            <w:r>
              <w:rPr>
                <w:rFonts w:ascii="Nimbus Sans" w:hAnsi="Nimbus Sans" w:eastAsia="Nimbus Sans" w:cs="Nimbus Sans"/>
                <w:b/>
                <w:i w:val="0"/>
                <w:color w:val="FFFFFF"/>
                <w:sz w:val="17"/>
              </w:rPr>
              <w:t>Exemplos de dados</w:t>
            </w:r>
          </w:p>
        </w:tc>
        <w:tc>
          <w:tcPr>
            <w:tcW w:type="dxa" w:w="3860"/>
            <w:vAlign w:val="top"/>
            <w:shd w:fill="17243D"/>
            <w:tcMar>
              <w:top w:w="100" w:type="dxa"/>
              <w:start w:w="120" w:type="dxa"/>
              <w:bottom w:w="100" w:type="dxa"/>
              <w:end w:w="120" w:type="dxa"/>
            </w:tcMar>
          </w:tcPr>
          <w:p>
            <w:pPr>
              <w:spacing w:after="0"/>
            </w:pPr>
            <w:r>
              <w:rPr>
                <w:rFonts w:ascii="Nimbus Sans" w:hAnsi="Nimbus Sans" w:eastAsia="Nimbus Sans" w:cs="Nimbus Sans"/>
                <w:b/>
                <w:i w:val="0"/>
                <w:color w:val="FFFFFF"/>
                <w:sz w:val="17"/>
              </w:rPr>
              <w:t>Base legal normalmente considerada</w:t>
            </w:r>
          </w:p>
        </w:tc>
      </w:tr>
      <w:tr>
        <w:trPr>
          <w:cantSplit w:val="true"/>
        </w:trPr>
        <w:tc>
          <w:tcPr>
            <w:tcW w:type="dxa" w:w="2150"/>
            <w:vAlign w:val="top"/>
            <w:tcMar>
              <w:top w:w="100" w:type="dxa"/>
              <w:start w:w="120" w:type="dxa"/>
              <w:bottom w:w="100" w:type="dxa"/>
              <w:end w:w="120" w:type="dxa"/>
            </w:tcMar>
          </w:tcPr>
          <w:p>
            <w:pPr>
              <w:spacing w:after="0"/>
            </w:pPr>
            <w:r>
              <w:rPr>
                <w:rFonts w:ascii="Nimbus Sans" w:hAnsi="Nimbus Sans" w:eastAsia="Nimbus Sans" w:cs="Nimbus Sans"/>
                <w:b w:val="0"/>
                <w:i w:val="0"/>
                <w:color w:val="191D17"/>
                <w:sz w:val="17"/>
              </w:rPr>
              <w:t>Fornecer conta, serviço e suporte</w:t>
            </w:r>
          </w:p>
        </w:tc>
        <w:tc>
          <w:tcPr>
            <w:tcW w:type="dxa" w:w="3350"/>
            <w:vAlign w:val="top"/>
            <w:tcMar>
              <w:top w:w="100" w:type="dxa"/>
              <w:start w:w="120" w:type="dxa"/>
              <w:bottom w:w="100" w:type="dxa"/>
              <w:end w:w="120" w:type="dxa"/>
            </w:tcMar>
          </w:tcPr>
          <w:p>
            <w:pPr>
              <w:spacing w:after="0"/>
            </w:pPr>
            <w:r>
              <w:rPr>
                <w:rFonts w:ascii="Nimbus Sans" w:hAnsi="Nimbus Sans" w:eastAsia="Nimbus Sans" w:cs="Nimbus Sans"/>
                <w:b w:val="0"/>
                <w:i w:val="0"/>
                <w:color w:val="191D17"/>
                <w:sz w:val="17"/>
              </w:rPr>
              <w:t>cadastro, autenticação, uso, solicitações</w:t>
            </w:r>
          </w:p>
        </w:tc>
        <w:tc>
          <w:tcPr>
            <w:tcW w:type="dxa" w:w="3860"/>
            <w:vAlign w:val="top"/>
            <w:tcMar>
              <w:top w:w="100" w:type="dxa"/>
              <w:start w:w="120" w:type="dxa"/>
              <w:bottom w:w="100" w:type="dxa"/>
              <w:end w:w="120" w:type="dxa"/>
            </w:tcMar>
          </w:tcPr>
          <w:p>
            <w:pPr>
              <w:spacing w:after="0"/>
            </w:pPr>
            <w:r>
              <w:rPr>
                <w:rFonts w:ascii="Nimbus Sans" w:hAnsi="Nimbus Sans" w:eastAsia="Nimbus Sans" w:cs="Nimbus Sans"/>
                <w:b w:val="0"/>
                <w:i w:val="0"/>
                <w:color w:val="191D17"/>
                <w:sz w:val="17"/>
              </w:rPr>
              <w:t>execução de contrato ou procedimentos preliminares; legítimo interesse quando aplicável</w:t>
            </w:r>
          </w:p>
        </w:tc>
      </w:tr>
      <w:tr>
        <w:trPr>
          <w:cantSplit w:val="true"/>
        </w:trPr>
        <w:tc>
          <w:tcPr>
            <w:tcW w:type="dxa" w:w="2150"/>
            <w:vAlign w:val="top"/>
            <w:shd w:fill="F7FAFA"/>
            <w:tcMar>
              <w:top w:w="100" w:type="dxa"/>
              <w:start w:w="120" w:type="dxa"/>
              <w:bottom w:w="100" w:type="dxa"/>
              <w:end w:w="120" w:type="dxa"/>
            </w:tcMar>
          </w:tcPr>
          <w:p>
            <w:pPr>
              <w:spacing w:after="0"/>
            </w:pPr>
            <w:r>
              <w:rPr>
                <w:rFonts w:ascii="Nimbus Sans" w:hAnsi="Nimbus Sans" w:eastAsia="Nimbus Sans" w:cs="Nimbus Sans"/>
                <w:b w:val="0"/>
                <w:i w:val="0"/>
                <w:color w:val="191D17"/>
                <w:sz w:val="17"/>
              </w:rPr>
              <w:t>Operar candidaturas em nome do cliente</w:t>
            </w:r>
          </w:p>
        </w:tc>
        <w:tc>
          <w:tcPr>
            <w:tcW w:type="dxa" w:w="3350"/>
            <w:vAlign w:val="top"/>
            <w:shd w:fill="F7FAFA"/>
            <w:tcMar>
              <w:top w:w="100" w:type="dxa"/>
              <w:start w:w="120" w:type="dxa"/>
              <w:bottom w:w="100" w:type="dxa"/>
              <w:end w:w="120" w:type="dxa"/>
            </w:tcMar>
          </w:tcPr>
          <w:p>
            <w:pPr>
              <w:spacing w:after="0"/>
            </w:pPr>
            <w:r>
              <w:rPr>
                <w:rFonts w:ascii="Nimbus Sans" w:hAnsi="Nimbus Sans" w:eastAsia="Nimbus Sans" w:cs="Nimbus Sans"/>
                <w:b w:val="0"/>
                <w:i w:val="0"/>
                <w:color w:val="191D17"/>
                <w:sz w:val="17"/>
              </w:rPr>
              <w:t>currículo, respostas, etapas e comunicações</w:t>
            </w:r>
          </w:p>
        </w:tc>
        <w:tc>
          <w:tcPr>
            <w:tcW w:type="dxa" w:w="3860"/>
            <w:vAlign w:val="top"/>
            <w:shd w:fill="F7FAFA"/>
            <w:tcMar>
              <w:top w:w="100" w:type="dxa"/>
              <w:start w:w="120" w:type="dxa"/>
              <w:bottom w:w="100" w:type="dxa"/>
              <w:end w:w="120" w:type="dxa"/>
            </w:tcMar>
          </w:tcPr>
          <w:p>
            <w:pPr>
              <w:spacing w:after="0"/>
            </w:pPr>
            <w:r>
              <w:rPr>
                <w:rFonts w:ascii="Nimbus Sans" w:hAnsi="Nimbus Sans" w:eastAsia="Nimbus Sans" w:cs="Nimbus Sans"/>
                <w:b w:val="0"/>
                <w:i w:val="0"/>
                <w:color w:val="191D17"/>
                <w:sz w:val="17"/>
              </w:rPr>
              <w:t>base definida pela empresa controladora; execução de instruções como operadora</w:t>
            </w:r>
          </w:p>
        </w:tc>
      </w:tr>
      <w:tr>
        <w:trPr>
          <w:cantSplit w:val="true"/>
        </w:trPr>
        <w:tc>
          <w:tcPr>
            <w:tcW w:type="dxa" w:w="2150"/>
            <w:vAlign w:val="top"/>
            <w:tcMar>
              <w:top w:w="100" w:type="dxa"/>
              <w:start w:w="120" w:type="dxa"/>
              <w:bottom w:w="100" w:type="dxa"/>
              <w:end w:w="120" w:type="dxa"/>
            </w:tcMar>
          </w:tcPr>
          <w:p>
            <w:pPr>
              <w:spacing w:after="0"/>
            </w:pPr>
            <w:r>
              <w:rPr>
                <w:rFonts w:ascii="Nimbus Sans" w:hAnsi="Nimbus Sans" w:eastAsia="Nimbus Sans" w:cs="Nimbus Sans"/>
                <w:b w:val="0"/>
                <w:i w:val="0"/>
                <w:color w:val="191D17"/>
                <w:sz w:val="17"/>
              </w:rPr>
              <w:t>Viabilizar candidatura solicitada pela pessoa</w:t>
            </w:r>
          </w:p>
        </w:tc>
        <w:tc>
          <w:tcPr>
            <w:tcW w:type="dxa" w:w="3350"/>
            <w:vAlign w:val="top"/>
            <w:tcMar>
              <w:top w:w="100" w:type="dxa"/>
              <w:start w:w="120" w:type="dxa"/>
              <w:bottom w:w="100" w:type="dxa"/>
              <w:end w:w="120" w:type="dxa"/>
            </w:tcMar>
          </w:tcPr>
          <w:p>
            <w:pPr>
              <w:spacing w:after="0"/>
            </w:pPr>
            <w:r>
              <w:rPr>
                <w:rFonts w:ascii="Nimbus Sans" w:hAnsi="Nimbus Sans" w:eastAsia="Nimbus Sans" w:cs="Nimbus Sans"/>
                <w:b w:val="0"/>
                <w:i w:val="0"/>
                <w:color w:val="191D17"/>
                <w:sz w:val="17"/>
              </w:rPr>
              <w:t>perfil, vaga e envio</w:t>
            </w:r>
          </w:p>
        </w:tc>
        <w:tc>
          <w:tcPr>
            <w:tcW w:type="dxa" w:w="3860"/>
            <w:vAlign w:val="top"/>
            <w:tcMar>
              <w:top w:w="100" w:type="dxa"/>
              <w:start w:w="120" w:type="dxa"/>
              <w:bottom w:w="100" w:type="dxa"/>
              <w:end w:w="120" w:type="dxa"/>
            </w:tcMar>
          </w:tcPr>
          <w:p>
            <w:pPr>
              <w:spacing w:after="0"/>
            </w:pPr>
            <w:r>
              <w:rPr>
                <w:rFonts w:ascii="Nimbus Sans" w:hAnsi="Nimbus Sans" w:eastAsia="Nimbus Sans" w:cs="Nimbus Sans"/>
                <w:b w:val="0"/>
                <w:i w:val="0"/>
                <w:color w:val="191D17"/>
                <w:sz w:val="17"/>
              </w:rPr>
              <w:t>procedimentos preliminares relacionados a contrato ou outra base definida pelo empregador</w:t>
            </w:r>
          </w:p>
        </w:tc>
      </w:tr>
      <w:tr>
        <w:trPr>
          <w:cantSplit w:val="true"/>
        </w:trPr>
        <w:tc>
          <w:tcPr>
            <w:tcW w:type="dxa" w:w="2150"/>
            <w:vAlign w:val="top"/>
            <w:shd w:fill="F7FAFA"/>
            <w:tcMar>
              <w:top w:w="100" w:type="dxa"/>
              <w:start w:w="120" w:type="dxa"/>
              <w:bottom w:w="100" w:type="dxa"/>
              <w:end w:w="120" w:type="dxa"/>
            </w:tcMar>
          </w:tcPr>
          <w:p>
            <w:pPr>
              <w:spacing w:after="0"/>
            </w:pPr>
            <w:r>
              <w:rPr>
                <w:rFonts w:ascii="Nimbus Sans" w:hAnsi="Nimbus Sans" w:eastAsia="Nimbus Sans" w:cs="Nimbus Sans"/>
                <w:b w:val="0"/>
                <w:i w:val="0"/>
                <w:color w:val="191D17"/>
                <w:sz w:val="17"/>
              </w:rPr>
              <w:t>Segurança, fraude e auditoria</w:t>
            </w:r>
          </w:p>
        </w:tc>
        <w:tc>
          <w:tcPr>
            <w:tcW w:type="dxa" w:w="3350"/>
            <w:vAlign w:val="top"/>
            <w:shd w:fill="F7FAFA"/>
            <w:tcMar>
              <w:top w:w="100" w:type="dxa"/>
              <w:start w:w="120" w:type="dxa"/>
              <w:bottom w:w="100" w:type="dxa"/>
              <w:end w:w="120" w:type="dxa"/>
            </w:tcMar>
          </w:tcPr>
          <w:p>
            <w:pPr>
              <w:spacing w:after="0"/>
            </w:pPr>
            <w:r>
              <w:rPr>
                <w:rFonts w:ascii="Nimbus Sans" w:hAnsi="Nimbus Sans" w:eastAsia="Nimbus Sans" w:cs="Nimbus Sans"/>
                <w:b w:val="0"/>
                <w:i w:val="0"/>
                <w:color w:val="191D17"/>
                <w:sz w:val="17"/>
              </w:rPr>
              <w:t>IP, logs, ações, dispositivo</w:t>
            </w:r>
          </w:p>
        </w:tc>
        <w:tc>
          <w:tcPr>
            <w:tcW w:type="dxa" w:w="3860"/>
            <w:vAlign w:val="top"/>
            <w:shd w:fill="F7FAFA"/>
            <w:tcMar>
              <w:top w:w="100" w:type="dxa"/>
              <w:start w:w="120" w:type="dxa"/>
              <w:bottom w:w="100" w:type="dxa"/>
              <w:end w:w="120" w:type="dxa"/>
            </w:tcMar>
          </w:tcPr>
          <w:p>
            <w:pPr>
              <w:spacing w:after="0"/>
            </w:pPr>
            <w:r>
              <w:rPr>
                <w:rFonts w:ascii="Nimbus Sans" w:hAnsi="Nimbus Sans" w:eastAsia="Nimbus Sans" w:cs="Nimbus Sans"/>
                <w:b w:val="0"/>
                <w:i w:val="0"/>
                <w:color w:val="191D17"/>
                <w:sz w:val="17"/>
              </w:rPr>
              <w:t>legítimo interesse; cumprimento de obrigação; exercício regular de direitos</w:t>
            </w:r>
          </w:p>
        </w:tc>
      </w:tr>
      <w:tr>
        <w:trPr>
          <w:cantSplit w:val="true"/>
        </w:trPr>
        <w:tc>
          <w:tcPr>
            <w:tcW w:type="dxa" w:w="2150"/>
            <w:vAlign w:val="top"/>
            <w:tcMar>
              <w:top w:w="100" w:type="dxa"/>
              <w:start w:w="120" w:type="dxa"/>
              <w:bottom w:w="100" w:type="dxa"/>
              <w:end w:w="120" w:type="dxa"/>
            </w:tcMar>
          </w:tcPr>
          <w:p>
            <w:pPr>
              <w:spacing w:after="0"/>
            </w:pPr>
            <w:r>
              <w:rPr>
                <w:rFonts w:ascii="Nimbus Sans" w:hAnsi="Nimbus Sans" w:eastAsia="Nimbus Sans" w:cs="Nimbus Sans"/>
                <w:b w:val="0"/>
                <w:i w:val="0"/>
                <w:color w:val="191D17"/>
                <w:sz w:val="17"/>
              </w:rPr>
              <w:t>Faturamento e obrigações fiscais</w:t>
            </w:r>
          </w:p>
        </w:tc>
        <w:tc>
          <w:tcPr>
            <w:tcW w:type="dxa" w:w="3350"/>
            <w:vAlign w:val="top"/>
            <w:tcMar>
              <w:top w:w="100" w:type="dxa"/>
              <w:start w:w="120" w:type="dxa"/>
              <w:bottom w:w="100" w:type="dxa"/>
              <w:end w:w="120" w:type="dxa"/>
            </w:tcMar>
          </w:tcPr>
          <w:p>
            <w:pPr>
              <w:spacing w:after="0"/>
            </w:pPr>
            <w:r>
              <w:rPr>
                <w:rFonts w:ascii="Nimbus Sans" w:hAnsi="Nimbus Sans" w:eastAsia="Nimbus Sans" w:cs="Nimbus Sans"/>
                <w:b w:val="0"/>
                <w:i w:val="0"/>
                <w:color w:val="191D17"/>
                <w:sz w:val="17"/>
              </w:rPr>
              <w:t>contato, contrato e cobrança</w:t>
            </w:r>
          </w:p>
        </w:tc>
        <w:tc>
          <w:tcPr>
            <w:tcW w:type="dxa" w:w="3860"/>
            <w:vAlign w:val="top"/>
            <w:tcMar>
              <w:top w:w="100" w:type="dxa"/>
              <w:start w:w="120" w:type="dxa"/>
              <w:bottom w:w="100" w:type="dxa"/>
              <w:end w:w="120" w:type="dxa"/>
            </w:tcMar>
          </w:tcPr>
          <w:p>
            <w:pPr>
              <w:spacing w:after="0"/>
            </w:pPr>
            <w:r>
              <w:rPr>
                <w:rFonts w:ascii="Nimbus Sans" w:hAnsi="Nimbus Sans" w:eastAsia="Nimbus Sans" w:cs="Nimbus Sans"/>
                <w:b w:val="0"/>
                <w:i w:val="0"/>
                <w:color w:val="191D17"/>
                <w:sz w:val="17"/>
              </w:rPr>
              <w:t>execução de contrato; obrigação legal ou regulatória</w:t>
            </w:r>
          </w:p>
        </w:tc>
      </w:tr>
      <w:tr>
        <w:trPr>
          <w:cantSplit w:val="true"/>
        </w:trPr>
        <w:tc>
          <w:tcPr>
            <w:tcW w:type="dxa" w:w="2150"/>
            <w:vAlign w:val="top"/>
            <w:shd w:fill="F7FAFA"/>
            <w:tcMar>
              <w:top w:w="100" w:type="dxa"/>
              <w:start w:w="120" w:type="dxa"/>
              <w:bottom w:w="100" w:type="dxa"/>
              <w:end w:w="120" w:type="dxa"/>
            </w:tcMar>
          </w:tcPr>
          <w:p>
            <w:pPr>
              <w:spacing w:after="0"/>
            </w:pPr>
            <w:r>
              <w:rPr>
                <w:rFonts w:ascii="Nimbus Sans" w:hAnsi="Nimbus Sans" w:eastAsia="Nimbus Sans" w:cs="Nimbus Sans"/>
                <w:b w:val="0"/>
                <w:i w:val="0"/>
                <w:color w:val="191D17"/>
                <w:sz w:val="17"/>
              </w:rPr>
              <w:t>Melhorar produto e medir desempenho</w:t>
            </w:r>
          </w:p>
        </w:tc>
        <w:tc>
          <w:tcPr>
            <w:tcW w:type="dxa" w:w="3350"/>
            <w:vAlign w:val="top"/>
            <w:shd w:fill="F7FAFA"/>
            <w:tcMar>
              <w:top w:w="100" w:type="dxa"/>
              <w:start w:w="120" w:type="dxa"/>
              <w:bottom w:w="100" w:type="dxa"/>
              <w:end w:w="120" w:type="dxa"/>
            </w:tcMar>
          </w:tcPr>
          <w:p>
            <w:pPr>
              <w:spacing w:after="0"/>
            </w:pPr>
            <w:r>
              <w:rPr>
                <w:rFonts w:ascii="Nimbus Sans" w:hAnsi="Nimbus Sans" w:eastAsia="Nimbus Sans" w:cs="Nimbus Sans"/>
                <w:b w:val="0"/>
                <w:i w:val="0"/>
                <w:color w:val="191D17"/>
                <w:sz w:val="17"/>
              </w:rPr>
              <w:t>eventos de uso, erros e pesquisas</w:t>
            </w:r>
          </w:p>
        </w:tc>
        <w:tc>
          <w:tcPr>
            <w:tcW w:type="dxa" w:w="3860"/>
            <w:vAlign w:val="top"/>
            <w:shd w:fill="F7FAFA"/>
            <w:tcMar>
              <w:top w:w="100" w:type="dxa"/>
              <w:start w:w="120" w:type="dxa"/>
              <w:bottom w:w="100" w:type="dxa"/>
              <w:end w:w="120" w:type="dxa"/>
            </w:tcMar>
          </w:tcPr>
          <w:p>
            <w:pPr>
              <w:spacing w:after="0"/>
            </w:pPr>
            <w:r>
              <w:rPr>
                <w:rFonts w:ascii="Nimbus Sans" w:hAnsi="Nimbus Sans" w:eastAsia="Nimbus Sans" w:cs="Nimbus Sans"/>
                <w:b w:val="0"/>
                <w:i w:val="0"/>
                <w:color w:val="191D17"/>
                <w:sz w:val="17"/>
              </w:rPr>
              <w:t>legítimo interesse com avaliação de necessidade e impacto; consentimento quando exigido</w:t>
            </w:r>
          </w:p>
        </w:tc>
      </w:tr>
      <w:tr>
        <w:trPr>
          <w:cantSplit w:val="true"/>
        </w:trPr>
        <w:tc>
          <w:tcPr>
            <w:tcW w:type="dxa" w:w="2150"/>
            <w:vAlign w:val="top"/>
            <w:tcMar>
              <w:top w:w="100" w:type="dxa"/>
              <w:start w:w="120" w:type="dxa"/>
              <w:bottom w:w="100" w:type="dxa"/>
              <w:end w:w="120" w:type="dxa"/>
            </w:tcMar>
          </w:tcPr>
          <w:p>
            <w:pPr>
              <w:spacing w:after="0"/>
            </w:pPr>
            <w:r>
              <w:rPr>
                <w:rFonts w:ascii="Nimbus Sans" w:hAnsi="Nimbus Sans" w:eastAsia="Nimbus Sans" w:cs="Nimbus Sans"/>
                <w:b w:val="0"/>
                <w:i w:val="0"/>
                <w:color w:val="191D17"/>
                <w:sz w:val="17"/>
              </w:rPr>
              <w:t>Comunicações comerciais</w:t>
            </w:r>
          </w:p>
        </w:tc>
        <w:tc>
          <w:tcPr>
            <w:tcW w:type="dxa" w:w="3350"/>
            <w:vAlign w:val="top"/>
            <w:tcMar>
              <w:top w:w="100" w:type="dxa"/>
              <w:start w:w="120" w:type="dxa"/>
              <w:bottom w:w="100" w:type="dxa"/>
              <w:end w:w="120" w:type="dxa"/>
            </w:tcMar>
          </w:tcPr>
          <w:p>
            <w:pPr>
              <w:spacing w:after="0"/>
            </w:pPr>
            <w:r>
              <w:rPr>
                <w:rFonts w:ascii="Nimbus Sans" w:hAnsi="Nimbus Sans" w:eastAsia="Nimbus Sans" w:cs="Nimbus Sans"/>
                <w:b w:val="0"/>
                <w:i w:val="0"/>
                <w:color w:val="191D17"/>
                <w:sz w:val="17"/>
              </w:rPr>
              <w:t>contato e preferências</w:t>
            </w:r>
          </w:p>
        </w:tc>
        <w:tc>
          <w:tcPr>
            <w:tcW w:type="dxa" w:w="3860"/>
            <w:vAlign w:val="top"/>
            <w:tcMar>
              <w:top w:w="100" w:type="dxa"/>
              <w:start w:w="120" w:type="dxa"/>
              <w:bottom w:w="100" w:type="dxa"/>
              <w:end w:w="120" w:type="dxa"/>
            </w:tcMar>
          </w:tcPr>
          <w:p>
            <w:pPr>
              <w:spacing w:after="0"/>
            </w:pPr>
            <w:r>
              <w:rPr>
                <w:rFonts w:ascii="Nimbus Sans" w:hAnsi="Nimbus Sans" w:eastAsia="Nimbus Sans" w:cs="Nimbus Sans"/>
                <w:b w:val="0"/>
                <w:i w:val="0"/>
                <w:color w:val="191D17"/>
                <w:sz w:val="17"/>
              </w:rPr>
              <w:t>consentimento ou legítimo interesse conforme a relação, com oposição e descadastro</w:t>
            </w:r>
          </w:p>
        </w:tc>
      </w:tr>
      <w:tr>
        <w:trPr>
          <w:cantSplit w:val="true"/>
        </w:trPr>
        <w:tc>
          <w:tcPr>
            <w:tcW w:type="dxa" w:w="2150"/>
            <w:vAlign w:val="top"/>
            <w:shd w:fill="F7FAFA"/>
            <w:tcMar>
              <w:top w:w="100" w:type="dxa"/>
              <w:start w:w="120" w:type="dxa"/>
              <w:bottom w:w="100" w:type="dxa"/>
              <w:end w:w="120" w:type="dxa"/>
            </w:tcMar>
          </w:tcPr>
          <w:p>
            <w:pPr>
              <w:spacing w:after="0"/>
            </w:pPr>
            <w:r>
              <w:rPr>
                <w:rFonts w:ascii="Nimbus Sans" w:hAnsi="Nimbus Sans" w:eastAsia="Nimbus Sans" w:cs="Nimbus Sans"/>
                <w:b w:val="0"/>
                <w:i w:val="0"/>
                <w:color w:val="191D17"/>
                <w:sz w:val="17"/>
              </w:rPr>
              <w:t>Cookies analíticos ou publicitários não necessários</w:t>
            </w:r>
          </w:p>
        </w:tc>
        <w:tc>
          <w:tcPr>
            <w:tcW w:type="dxa" w:w="3350"/>
            <w:vAlign w:val="top"/>
            <w:shd w:fill="F7FAFA"/>
            <w:tcMar>
              <w:top w:w="100" w:type="dxa"/>
              <w:start w:w="120" w:type="dxa"/>
              <w:bottom w:w="100" w:type="dxa"/>
              <w:end w:w="120" w:type="dxa"/>
            </w:tcMar>
          </w:tcPr>
          <w:p>
            <w:pPr>
              <w:spacing w:after="0"/>
            </w:pPr>
            <w:r>
              <w:rPr>
                <w:rFonts w:ascii="Nimbus Sans" w:hAnsi="Nimbus Sans" w:eastAsia="Nimbus Sans" w:cs="Nimbus Sans"/>
                <w:b w:val="0"/>
                <w:i w:val="0"/>
                <w:color w:val="191D17"/>
                <w:sz w:val="17"/>
              </w:rPr>
              <w:t>identificadores e navegação</w:t>
            </w:r>
          </w:p>
        </w:tc>
        <w:tc>
          <w:tcPr>
            <w:tcW w:type="dxa" w:w="3860"/>
            <w:vAlign w:val="top"/>
            <w:shd w:fill="F7FAFA"/>
            <w:tcMar>
              <w:top w:w="100" w:type="dxa"/>
              <w:start w:w="120" w:type="dxa"/>
              <w:bottom w:w="100" w:type="dxa"/>
              <w:end w:w="120" w:type="dxa"/>
            </w:tcMar>
          </w:tcPr>
          <w:p>
            <w:pPr>
              <w:spacing w:after="0"/>
            </w:pPr>
            <w:r>
              <w:rPr>
                <w:rFonts w:ascii="Nimbus Sans" w:hAnsi="Nimbus Sans" w:eastAsia="Nimbus Sans" w:cs="Nimbus Sans"/>
                <w:b w:val="0"/>
                <w:i w:val="0"/>
                <w:color w:val="191D17"/>
                <w:sz w:val="17"/>
              </w:rPr>
              <w:t>consentimento, quando aplicável</w:t>
            </w:r>
          </w:p>
        </w:tc>
      </w:tr>
      <w:tr>
        <w:trPr>
          <w:cantSplit w:val="true"/>
        </w:trPr>
        <w:tc>
          <w:tcPr>
            <w:tcW w:type="dxa" w:w="2150"/>
            <w:vAlign w:val="top"/>
            <w:tcMar>
              <w:top w:w="100" w:type="dxa"/>
              <w:start w:w="120" w:type="dxa"/>
              <w:bottom w:w="100" w:type="dxa"/>
              <w:end w:w="120" w:type="dxa"/>
            </w:tcMar>
          </w:tcPr>
          <w:p>
            <w:pPr>
              <w:spacing w:after="0"/>
            </w:pPr>
            <w:r>
              <w:rPr>
                <w:rFonts w:ascii="Nimbus Sans" w:hAnsi="Nimbus Sans" w:eastAsia="Nimbus Sans" w:cs="Nimbus Sans"/>
                <w:b w:val="0"/>
                <w:i w:val="0"/>
                <w:color w:val="191D17"/>
                <w:sz w:val="17"/>
              </w:rPr>
              <w:t>Defender direitos e responder autoridades</w:t>
            </w:r>
          </w:p>
        </w:tc>
        <w:tc>
          <w:tcPr>
            <w:tcW w:type="dxa" w:w="3350"/>
            <w:vAlign w:val="top"/>
            <w:tcMar>
              <w:top w:w="100" w:type="dxa"/>
              <w:start w:w="120" w:type="dxa"/>
              <w:bottom w:w="100" w:type="dxa"/>
              <w:end w:w="120" w:type="dxa"/>
            </w:tcMar>
          </w:tcPr>
          <w:p>
            <w:pPr>
              <w:spacing w:after="0"/>
            </w:pPr>
            <w:r>
              <w:rPr>
                <w:rFonts w:ascii="Nimbus Sans" w:hAnsi="Nimbus Sans" w:eastAsia="Nimbus Sans" w:cs="Nimbus Sans"/>
                <w:b w:val="0"/>
                <w:i w:val="0"/>
                <w:color w:val="191D17"/>
                <w:sz w:val="17"/>
              </w:rPr>
              <w:t>registros e documentos</w:t>
            </w:r>
          </w:p>
        </w:tc>
        <w:tc>
          <w:tcPr>
            <w:tcW w:type="dxa" w:w="3860"/>
            <w:vAlign w:val="top"/>
            <w:tcMar>
              <w:top w:w="100" w:type="dxa"/>
              <w:start w:w="120" w:type="dxa"/>
              <w:bottom w:w="100" w:type="dxa"/>
              <w:end w:w="120" w:type="dxa"/>
            </w:tcMar>
          </w:tcPr>
          <w:p>
            <w:pPr>
              <w:spacing w:after="0"/>
            </w:pPr>
            <w:r>
              <w:rPr>
                <w:rFonts w:ascii="Nimbus Sans" w:hAnsi="Nimbus Sans" w:eastAsia="Nimbus Sans" w:cs="Nimbus Sans"/>
                <w:b w:val="0"/>
                <w:i w:val="0"/>
                <w:color w:val="191D17"/>
                <w:sz w:val="17"/>
              </w:rPr>
              <w:t>exercício regular de direitos; obrigação legal ou regulatória</w:t>
            </w:r>
          </w:p>
        </w:tc>
      </w:tr>
      <w:tr>
        <w:trPr>
          <w:cantSplit w:val="true"/>
        </w:trPr>
        <w:tc>
          <w:tcPr>
            <w:tcW w:type="dxa" w:w="2150"/>
            <w:vAlign w:val="top"/>
            <w:shd w:fill="F7FAFA"/>
            <w:tcMar>
              <w:top w:w="100" w:type="dxa"/>
              <w:start w:w="120" w:type="dxa"/>
              <w:bottom w:w="100" w:type="dxa"/>
              <w:end w:w="120" w:type="dxa"/>
            </w:tcMar>
          </w:tcPr>
          <w:p>
            <w:pPr>
              <w:spacing w:after="0"/>
            </w:pPr>
            <w:r>
              <w:rPr>
                <w:rFonts w:ascii="Nimbus Sans" w:hAnsi="Nimbus Sans" w:eastAsia="Nimbus Sans" w:cs="Nimbus Sans"/>
                <w:b w:val="0"/>
                <w:i w:val="0"/>
                <w:color w:val="191D17"/>
                <w:sz w:val="17"/>
              </w:rPr>
              <w:t>Prevenir dano à vida ou integridade</w:t>
            </w:r>
          </w:p>
        </w:tc>
        <w:tc>
          <w:tcPr>
            <w:tcW w:type="dxa" w:w="3350"/>
            <w:vAlign w:val="top"/>
            <w:shd w:fill="F7FAFA"/>
            <w:tcMar>
              <w:top w:w="100" w:type="dxa"/>
              <w:start w:w="120" w:type="dxa"/>
              <w:bottom w:w="100" w:type="dxa"/>
              <w:end w:w="120" w:type="dxa"/>
            </w:tcMar>
          </w:tcPr>
          <w:p>
            <w:pPr>
              <w:spacing w:after="0"/>
            </w:pPr>
            <w:r>
              <w:rPr>
                <w:rFonts w:ascii="Nimbus Sans" w:hAnsi="Nimbus Sans" w:eastAsia="Nimbus Sans" w:cs="Nimbus Sans"/>
                <w:b w:val="0"/>
                <w:i w:val="0"/>
                <w:color w:val="191D17"/>
                <w:sz w:val="17"/>
              </w:rPr>
              <w:t>dados estritamente necessários</w:t>
            </w:r>
          </w:p>
        </w:tc>
        <w:tc>
          <w:tcPr>
            <w:tcW w:type="dxa" w:w="3860"/>
            <w:vAlign w:val="top"/>
            <w:shd w:fill="F7FAFA"/>
            <w:tcMar>
              <w:top w:w="100" w:type="dxa"/>
              <w:start w:w="120" w:type="dxa"/>
              <w:bottom w:w="100" w:type="dxa"/>
              <w:end w:w="120" w:type="dxa"/>
            </w:tcMar>
          </w:tcPr>
          <w:p>
            <w:pPr>
              <w:spacing w:after="0"/>
            </w:pPr>
            <w:r>
              <w:rPr>
                <w:rFonts w:ascii="Nimbus Sans" w:hAnsi="Nimbus Sans" w:eastAsia="Nimbus Sans" w:cs="Nimbus Sans"/>
                <w:b w:val="0"/>
                <w:i w:val="0"/>
                <w:color w:val="191D17"/>
                <w:sz w:val="17"/>
              </w:rPr>
              <w:t>proteção da vida ou da incolumidade física</w:t>
            </w:r>
          </w:p>
        </w:tc>
      </w:tr>
    </w:tbl>
    <w:p>
      <w:pPr>
        <w:spacing w:after="40"/>
      </w:pPr>
    </w:p>
    <w:p>
      <w:r>
        <w:rPr>
          <w:rFonts w:ascii="Nimbus Sans" w:hAnsi="Nimbus Sans" w:eastAsia="Nimbus Sans" w:cs="Nimbus Sans"/>
          <w:b w:val="0"/>
          <w:i w:val="0"/>
          <w:color w:val="191D17"/>
          <w:sz w:val="21"/>
        </w:rPr>
        <w:t>Consentimento não será usado de forma genérica para todos os tratamentos. Quando for a base escolhida, deverá ser livre, informado, inequívoco, específico e revogável. O legítimo interesse exigirá finalidade legítima, necessidade, balanceamento, transparência e salvaguardas.</w:t>
      </w:r>
    </w:p>
    <w:p>
      <w:pPr>
        <w:pStyle w:val="Heading1"/>
        <w:keepNext/>
      </w:pPr>
      <w:r>
        <w:rPr>
          <w:rFonts w:ascii="Nimbus Sans" w:hAnsi="Nimbus Sans" w:eastAsia="Nimbus Sans" w:cs="Nimbus Sans"/>
          <w:b w:val="0"/>
          <w:i w:val="0"/>
          <w:color w:val="20B2AA"/>
          <w:sz w:val="32"/>
        </w:rPr>
        <w:t xml:space="preserve">8. Portal agregado </w:t>
      </w:r>
      <w:r>
        <w:rPr>
          <w:rFonts w:ascii="DejaVu Sans Mono" w:hAnsi="DejaVu Sans Mono" w:eastAsia="DejaVu Sans Mono" w:cs="DejaVu Sans Mono"/>
          <w:b w:val="0"/>
          <w:i w:val="0"/>
          <w:color w:val="17243D"/>
          <w:sz w:val="18"/>
        </w:rPr>
        <w:t>vagas.jobforged.com</w:t>
      </w:r>
    </w:p>
    <w:p>
      <w:r>
        <w:rPr>
          <w:rFonts w:ascii="Nimbus Sans" w:hAnsi="Nimbus Sans" w:eastAsia="Nimbus Sans" w:cs="Nimbus Sans"/>
          <w:b w:val="0"/>
          <w:i w:val="0"/>
          <w:color w:val="191D17"/>
          <w:sz w:val="21"/>
        </w:rPr>
        <w:t>A JobForged planeja disponibilizar uma página pública que reúna vagas públicas e ativas publicadas por empresas usuárias. Até o lançamento ser formalmente confirmado, qualquer referência ao portal deve indicar que se trata de recurso planejado, em desenvolvimento ou em piloto, conforme o caso.</w:t>
      </w:r>
    </w:p>
    <w:p>
      <w:r>
        <w:rPr>
          <w:rFonts w:ascii="Nimbus Sans" w:hAnsi="Nimbus Sans" w:eastAsia="Nimbus Sans" w:cs="Nimbus Sans"/>
          <w:b w:val="0"/>
          <w:i w:val="0"/>
          <w:color w:val="191D17"/>
          <w:sz w:val="21"/>
        </w:rPr>
        <w:t>Quando habilitado, o portal poderá exibir informações públicas da vaga e da empresa, permitir busca, filtros, compartilhamento e candidatura, registrar interações e ordenar resultados por fatores como aderência ao termo buscado, localidade, modalidade, recência, completude, qualidade, desempenho, preferências e patrocínio. Vagas ou resultados pagos serão identificados de forma clara.</w:t>
      </w:r>
    </w:p>
    <w:p>
      <w:r>
        <w:rPr>
          <w:rFonts w:ascii="Nimbus Sans" w:hAnsi="Nimbus Sans" w:eastAsia="Nimbus Sans" w:cs="Nimbus Sans"/>
          <w:b w:val="0"/>
          <w:i w:val="0"/>
          <w:color w:val="191D17"/>
          <w:sz w:val="21"/>
        </w:rPr>
        <w:t>A empresa contratante é responsável pela legitimidade, exatidão, critérios e atualização da vaga. A JobForged poderá moderar, suspender ou remover conteúdo e manter canal de denúncia, mas não garante que toda vaga tenha sido previamente verificada nem que haverá entrevista ou contratação.</w:t>
      </w:r>
    </w:p>
    <w:p>
      <w:pPr>
        <w:pStyle w:val="Heading1"/>
        <w:keepNext/>
      </w:pPr>
      <w:r>
        <w:rPr>
          <w:rFonts w:ascii="Nimbus Sans" w:hAnsi="Nimbus Sans" w:eastAsia="Nimbus Sans" w:cs="Nimbus Sans"/>
          <w:b w:val="0"/>
          <w:i w:val="0"/>
          <w:color w:val="20B2AA"/>
          <w:sz w:val="32"/>
        </w:rPr>
        <w:t>9. Inteligência artificial e decisões automatizadas</w:t>
      </w:r>
    </w:p>
    <w:p>
      <w:r>
        <w:rPr>
          <w:rFonts w:ascii="Nimbus Sans" w:hAnsi="Nimbus Sans" w:eastAsia="Nimbus Sans" w:cs="Nimbus Sans"/>
          <w:b w:val="0"/>
          <w:i w:val="0"/>
          <w:color w:val="191D17"/>
          <w:sz w:val="21"/>
        </w:rPr>
        <w:t>Recursos de IA podem extrair informações, resumir currículos, organizar respostas, relacionar evidências a critérios, sugerir perguntas, apoiar priorização e produzir indicadores. Saídas de IA são probabilísticas e podem conter erro, omissão ou viés.</w:t>
      </w:r>
    </w:p>
    <w:p>
      <w:r>
        <w:rPr>
          <w:rFonts w:ascii="Nimbus Sans" w:hAnsi="Nimbus Sans" w:eastAsia="Nimbus Sans" w:cs="Nimbus Sans"/>
          <w:b w:val="0"/>
          <w:i w:val="0"/>
          <w:color w:val="191D17"/>
          <w:sz w:val="21"/>
        </w:rPr>
        <w:t>A JobForged adota como diretriz que a decisão de contratar, eliminar ou classificar de forma material permaneça sob responsabilidade humana da empresa. Critérios devem ser pertinentes à vaga, documentados, auditáveis e não discriminatórios. A plataforma não deve inferir personalidade, saúde mental, emoção, caráter ou atributos protegidos a partir de imagem, voz, nome ou sinais não validados.</w:t>
      </w:r>
    </w:p>
    <w:p>
      <w:r>
        <w:rPr>
          <w:rFonts w:ascii="Nimbus Sans" w:hAnsi="Nimbus Sans" w:eastAsia="Nimbus Sans" w:cs="Nimbus Sans"/>
          <w:b w:val="0"/>
          <w:i w:val="0"/>
          <w:color w:val="191D17"/>
          <w:sz w:val="21"/>
        </w:rPr>
        <w:t>Quando houver decisão tomada unicamente com base em tratamento automatizado que afete interesses, a pessoa poderá solicitar revisão e informações claras sobre critérios e procedimentos, preservados segredos comercial e industrial nos limites legais. A empresa cliente deverá cooperar e manter responsável humano apto a revisar o resultado.</w:t>
      </w:r>
    </w:p>
    <w:p>
      <w:pPr>
        <w:pStyle w:val="Heading1"/>
        <w:keepNext/>
      </w:pPr>
      <w:r>
        <w:rPr>
          <w:rFonts w:ascii="Nimbus Sans" w:hAnsi="Nimbus Sans" w:eastAsia="Nimbus Sans" w:cs="Nimbus Sans"/>
          <w:b w:val="0"/>
          <w:i w:val="0"/>
          <w:color w:val="20B2AA"/>
          <w:sz w:val="32"/>
        </w:rPr>
        <w:t>10. Compartilhamento de dados</w:t>
      </w:r>
    </w:p>
    <w:p>
      <w:r>
        <w:rPr>
          <w:rFonts w:ascii="Nimbus Sans" w:hAnsi="Nimbus Sans" w:eastAsia="Nimbus Sans" w:cs="Nimbus Sans"/>
          <w:b w:val="0"/>
          <w:i w:val="0"/>
          <w:color w:val="191D17"/>
          <w:sz w:val="21"/>
        </w:rPr>
        <w:t>Dados poderão ser compartilhados, no limite necessário, com:</w:t>
      </w:r>
    </w:p>
    <w:p>
      <w:pPr>
        <w:pStyle w:val="ListBullet"/>
      </w:pPr>
      <w:r>
        <w:rPr>
          <w:rFonts w:ascii="Nimbus Sans" w:hAnsi="Nimbus Sans" w:eastAsia="Nimbus Sans" w:cs="Nimbus Sans"/>
          <w:b w:val="0"/>
          <w:i w:val="0"/>
          <w:color w:val="191D17"/>
          <w:sz w:val="21"/>
        </w:rPr>
        <w:t xml:space="preserve"> empresa responsável pela vaga e seus usuários autorizados;</w:t>
      </w:r>
    </w:p>
    <w:p>
      <w:pPr>
        <w:pStyle w:val="ListBullet"/>
      </w:pPr>
      <w:r>
        <w:rPr>
          <w:rFonts w:ascii="Nimbus Sans" w:hAnsi="Nimbus Sans" w:eastAsia="Nimbus Sans" w:cs="Nimbus Sans"/>
          <w:b w:val="0"/>
          <w:i w:val="0"/>
          <w:color w:val="191D17"/>
          <w:sz w:val="21"/>
        </w:rPr>
        <w:t xml:space="preserve"> provedores de hospedagem, armazenamento, banco de dados, segurança, suporte e observabilidade;</w:t>
      </w:r>
    </w:p>
    <w:p>
      <w:pPr>
        <w:pStyle w:val="ListBullet"/>
      </w:pPr>
      <w:r>
        <w:rPr>
          <w:rFonts w:ascii="Nimbus Sans" w:hAnsi="Nimbus Sans" w:eastAsia="Nimbus Sans" w:cs="Nimbus Sans"/>
          <w:b w:val="0"/>
          <w:i w:val="0"/>
          <w:color w:val="191D17"/>
          <w:sz w:val="21"/>
        </w:rPr>
        <w:t xml:space="preserve"> provedores de e-mail, WhatsApp, calendário, videoconferência e assinatura, se habilitados;</w:t>
      </w:r>
    </w:p>
    <w:p>
      <w:pPr>
        <w:pStyle w:val="ListBullet"/>
      </w:pPr>
      <w:r>
        <w:rPr>
          <w:rFonts w:ascii="Nimbus Sans" w:hAnsi="Nimbus Sans" w:eastAsia="Nimbus Sans" w:cs="Nimbus Sans"/>
          <w:b w:val="0"/>
          <w:i w:val="0"/>
          <w:color w:val="191D17"/>
          <w:sz w:val="21"/>
        </w:rPr>
        <w:t xml:space="preserve"> provedores de IA, automação, análise de documentos e RAG, conforme a configuração;</w:t>
      </w:r>
    </w:p>
    <w:p>
      <w:pPr>
        <w:pStyle w:val="ListBullet"/>
      </w:pPr>
      <w:r>
        <w:rPr>
          <w:rFonts w:ascii="Nimbus Sans" w:hAnsi="Nimbus Sans" w:eastAsia="Nimbus Sans" w:cs="Nimbus Sans"/>
          <w:b w:val="0"/>
          <w:i w:val="0"/>
          <w:color w:val="191D17"/>
          <w:sz w:val="21"/>
        </w:rPr>
        <w:t xml:space="preserve"> processadores de pagamento, cobrança e contabilidade;</w:t>
      </w:r>
    </w:p>
    <w:p>
      <w:pPr>
        <w:pStyle w:val="ListBullet"/>
      </w:pPr>
      <w:r>
        <w:rPr>
          <w:rFonts w:ascii="Nimbus Sans" w:hAnsi="Nimbus Sans" w:eastAsia="Nimbus Sans" w:cs="Nimbus Sans"/>
          <w:b w:val="0"/>
          <w:i w:val="0"/>
          <w:color w:val="191D17"/>
          <w:sz w:val="21"/>
        </w:rPr>
        <w:t xml:space="preserve"> ferramentas de analytics, gestão de consentimento e publicidade, conforme preferências;</w:t>
      </w:r>
    </w:p>
    <w:p>
      <w:pPr>
        <w:pStyle w:val="ListBullet"/>
      </w:pPr>
      <w:r>
        <w:rPr>
          <w:rFonts w:ascii="Nimbus Sans" w:hAnsi="Nimbus Sans" w:eastAsia="Nimbus Sans" w:cs="Nimbus Sans"/>
          <w:b w:val="0"/>
          <w:i w:val="0"/>
          <w:color w:val="191D17"/>
          <w:sz w:val="21"/>
        </w:rPr>
        <w:t xml:space="preserve"> consultorias e parceiros autorizados pela empresa cliente;</w:t>
      </w:r>
    </w:p>
    <w:p>
      <w:pPr>
        <w:pStyle w:val="ListBullet"/>
      </w:pPr>
      <w:r>
        <w:rPr>
          <w:rFonts w:ascii="Nimbus Sans" w:hAnsi="Nimbus Sans" w:eastAsia="Nimbus Sans" w:cs="Nimbus Sans"/>
          <w:b w:val="0"/>
          <w:i w:val="0"/>
          <w:color w:val="191D17"/>
          <w:sz w:val="21"/>
        </w:rPr>
        <w:t xml:space="preserve"> autoridades, tribunais ou terceiros quando exigido por lei ou necessário à defesa de direitos;</w:t>
      </w:r>
    </w:p>
    <w:p>
      <w:pPr>
        <w:pStyle w:val="ListBullet"/>
      </w:pPr>
      <w:r>
        <w:rPr>
          <w:rFonts w:ascii="Nimbus Sans" w:hAnsi="Nimbus Sans" w:eastAsia="Nimbus Sans" w:cs="Nimbus Sans"/>
          <w:b w:val="0"/>
          <w:i w:val="0"/>
          <w:color w:val="191D17"/>
          <w:sz w:val="21"/>
        </w:rPr>
        <w:t xml:space="preserve"> sucessores em reorganização, investimento, fusão ou aquisição, com salvaguardas de confidencialidade e continuidade.</w:t>
      </w:r>
    </w:p>
    <w:p>
      <w:r>
        <w:rPr>
          <w:rFonts w:ascii="Nimbus Sans" w:hAnsi="Nimbus Sans" w:eastAsia="Nimbus Sans" w:cs="Nimbus Sans"/>
          <w:b w:val="0"/>
          <w:i w:val="0"/>
          <w:color w:val="191D17"/>
          <w:sz w:val="21"/>
        </w:rPr>
        <w:t>A JobForged não vende dados pessoais por padrão. Qualquer compartilhamento para publicidade comportamental ou finalidade própria de terceiro deverá ser identificado, limitado e apoiado por base legal adequada.</w:t>
      </w:r>
    </w:p>
    <w:p>
      <w:pPr>
        <w:pStyle w:val="Heading1"/>
        <w:keepNext/>
      </w:pPr>
      <w:r>
        <w:rPr>
          <w:rFonts w:ascii="Nimbus Sans" w:hAnsi="Nimbus Sans" w:eastAsia="Nimbus Sans" w:cs="Nimbus Sans"/>
          <w:b w:val="0"/>
          <w:i w:val="0"/>
          <w:color w:val="20B2AA"/>
          <w:sz w:val="32"/>
        </w:rPr>
        <w:t>11. Operadores, suboperadores e contratos</w:t>
      </w:r>
    </w:p>
    <w:p>
      <w:r>
        <w:rPr>
          <w:rFonts w:ascii="Nimbus Sans" w:hAnsi="Nimbus Sans" w:eastAsia="Nimbus Sans" w:cs="Nimbus Sans"/>
          <w:b w:val="0"/>
          <w:i w:val="0"/>
          <w:color w:val="191D17"/>
          <w:sz w:val="21"/>
        </w:rPr>
        <w:t>Fornecedores com acesso a dados devem ser avaliados quanto a segurança, finalidade, retenção, subcontratação, transferência internacional, resposta a incidentes e eliminação. Os contratos devem impor confidencialidade, instruções documentadas, controles, cooperação com direitos e incidentes e devolução ou eliminação ao término.</w:t>
      </w:r>
    </w:p>
    <w:p>
      <w:r>
        <w:rPr>
          <w:rFonts w:ascii="Nimbus Sans" w:hAnsi="Nimbus Sans" w:eastAsia="Nimbus Sans" w:cs="Nimbus Sans"/>
          <w:b w:val="0"/>
          <w:i w:val="0"/>
          <w:color w:val="191D17"/>
          <w:sz w:val="21"/>
        </w:rPr>
        <w:t xml:space="preserve">A lista ou categorias de suboperadores relevantes deverá ser disponibilizada em </w:t>
      </w:r>
      <w:r>
        <w:rPr>
          <w:rFonts w:ascii="Nimbus Sans" w:hAnsi="Nimbus Sans" w:eastAsia="Nimbus Sans" w:cs="Nimbus Sans"/>
          <w:b/>
          <w:i w:val="0"/>
          <w:color w:val="B42318"/>
          <w:sz w:val="21"/>
        </w:rPr>
        <w:t>[URL OU CANAL DE SUBOPERADORES]</w:t>
      </w:r>
      <w:r>
        <w:rPr>
          <w:rFonts w:ascii="Nimbus Sans" w:hAnsi="Nimbus Sans" w:eastAsia="Nimbus Sans" w:cs="Nimbus Sans"/>
          <w:b w:val="0"/>
          <w:i w:val="0"/>
          <w:color w:val="191D17"/>
          <w:sz w:val="21"/>
        </w:rPr>
        <w:t>, quando aplicável, e mantida coerente com a operação real.</w:t>
      </w:r>
    </w:p>
    <w:p>
      <w:pPr>
        <w:pStyle w:val="Heading1"/>
        <w:keepNext/>
      </w:pPr>
      <w:r>
        <w:rPr>
          <w:rFonts w:ascii="Nimbus Sans" w:hAnsi="Nimbus Sans" w:eastAsia="Nimbus Sans" w:cs="Nimbus Sans"/>
          <w:b w:val="0"/>
          <w:i w:val="0"/>
          <w:color w:val="20B2AA"/>
          <w:sz w:val="32"/>
        </w:rPr>
        <w:t>12. Transferência internacional</w:t>
      </w:r>
    </w:p>
    <w:p>
      <w:r>
        <w:rPr>
          <w:rFonts w:ascii="Nimbus Sans" w:hAnsi="Nimbus Sans" w:eastAsia="Nimbus Sans" w:cs="Nimbus Sans"/>
          <w:b w:val="0"/>
          <w:i w:val="0"/>
          <w:color w:val="191D17"/>
          <w:sz w:val="21"/>
        </w:rPr>
        <w:t>Alguns fornecedores podem tratar dados fora do Brasil ou em infraestrutura global. A JobForged adotará mecanismo permitido pela LGPD e pela regulamentação da ANPD, como decisão de adequação, cláusulas-padrão contratuais, normas corporativas globais, consentimento específico quando cabível ou outra hipótese legal.</w:t>
      </w:r>
    </w:p>
    <w:p>
      <w:r>
        <w:rPr>
          <w:rFonts w:ascii="Nimbus Sans" w:hAnsi="Nimbus Sans" w:eastAsia="Nimbus Sans" w:cs="Nimbus Sans"/>
          <w:b w:val="0"/>
          <w:i w:val="0"/>
          <w:color w:val="191D17"/>
          <w:sz w:val="21"/>
        </w:rPr>
        <w:t>As pessoas poderão solicitar informações sobre países, finalidade e salvaguardas aplicáveis pelo canal de privacidade, observados segredos comercial e industrial.</w:t>
      </w:r>
    </w:p>
    <w:p>
      <w:pPr>
        <w:pStyle w:val="Heading1"/>
        <w:keepNext/>
      </w:pPr>
      <w:r>
        <w:rPr>
          <w:rFonts w:ascii="Nimbus Sans" w:hAnsi="Nimbus Sans" w:eastAsia="Nimbus Sans" w:cs="Nimbus Sans"/>
          <w:b w:val="0"/>
          <w:i w:val="0"/>
          <w:color w:val="20B2AA"/>
          <w:sz w:val="32"/>
        </w:rPr>
        <w:t>13. Retenção e eliminação</w:t>
      </w:r>
    </w:p>
    <w:p>
      <w:r>
        <w:rPr>
          <w:rFonts w:ascii="Nimbus Sans" w:hAnsi="Nimbus Sans" w:eastAsia="Nimbus Sans" w:cs="Nimbus Sans"/>
          <w:b w:val="0"/>
          <w:i w:val="0"/>
          <w:color w:val="191D17"/>
          <w:sz w:val="21"/>
        </w:rPr>
        <w:t>Os dados serão mantidos pelo tempo necessário à finalidade, ao contrato, à configuração da empresa controladora, ao processo seletivo, à segurança, a obrigações legais e ao exercício de direitos. Entre os critérios:</w:t>
      </w:r>
    </w:p>
    <w:p>
      <w:pPr>
        <w:pStyle w:val="ListBullet"/>
      </w:pPr>
      <w:r>
        <w:rPr>
          <w:rFonts w:ascii="Nimbus Sans" w:hAnsi="Nimbus Sans" w:eastAsia="Nimbus Sans" w:cs="Nimbus Sans"/>
          <w:b w:val="0"/>
          <w:i w:val="0"/>
          <w:color w:val="191D17"/>
          <w:sz w:val="21"/>
        </w:rPr>
        <w:t xml:space="preserve"> dados de conta e contrato durante a relação e pelo prazo necessário a obrigações e defesa;</w:t>
      </w:r>
    </w:p>
    <w:p>
      <w:pPr>
        <w:pStyle w:val="ListBullet"/>
      </w:pPr>
      <w:r>
        <w:rPr>
          <w:rFonts w:ascii="Nimbus Sans" w:hAnsi="Nimbus Sans" w:eastAsia="Nimbus Sans" w:cs="Nimbus Sans"/>
          <w:b w:val="0"/>
          <w:i w:val="0"/>
          <w:color w:val="191D17"/>
          <w:sz w:val="21"/>
        </w:rPr>
        <w:t xml:space="preserve"> candidaturas conforme instrução e política de retenção da empresa controladora;</w:t>
      </w:r>
    </w:p>
    <w:p>
      <w:pPr>
        <w:pStyle w:val="ListBullet"/>
      </w:pPr>
      <w:r>
        <w:rPr>
          <w:rFonts w:ascii="Nimbus Sans" w:hAnsi="Nimbus Sans" w:eastAsia="Nimbus Sans" w:cs="Nimbus Sans"/>
          <w:b w:val="0"/>
          <w:i w:val="0"/>
          <w:color w:val="191D17"/>
          <w:sz w:val="21"/>
        </w:rPr>
        <w:t xml:space="preserve"> banco de talentos pelo período informado e com possibilidade de oposição ou revogação quando aplicável;</w:t>
      </w:r>
    </w:p>
    <w:p>
      <w:pPr>
        <w:pStyle w:val="ListBullet"/>
      </w:pPr>
      <w:r>
        <w:rPr>
          <w:rFonts w:ascii="Nimbus Sans" w:hAnsi="Nimbus Sans" w:eastAsia="Nimbus Sans" w:cs="Nimbus Sans"/>
          <w:b w:val="0"/>
          <w:i w:val="0"/>
          <w:color w:val="191D17"/>
          <w:sz w:val="21"/>
        </w:rPr>
        <w:t xml:space="preserve"> registros de acesso a aplicações de internet pelo prazo legal aplicável, inclusive seis meses quando exigido pelo Marco Civil da Internet;</w:t>
      </w:r>
    </w:p>
    <w:p>
      <w:pPr>
        <w:pStyle w:val="ListBullet"/>
      </w:pPr>
      <w:r>
        <w:rPr>
          <w:rFonts w:ascii="Nimbus Sans" w:hAnsi="Nimbus Sans" w:eastAsia="Nimbus Sans" w:cs="Nimbus Sans"/>
          <w:b w:val="0"/>
          <w:i w:val="0"/>
          <w:color w:val="191D17"/>
          <w:sz w:val="21"/>
        </w:rPr>
        <w:t xml:space="preserve"> backups por ciclos técnicos limitados, com acesso restrito e sobrescrita programada;</w:t>
      </w:r>
    </w:p>
    <w:p>
      <w:pPr>
        <w:pStyle w:val="ListBullet"/>
      </w:pPr>
      <w:r>
        <w:rPr>
          <w:rFonts w:ascii="Nimbus Sans" w:hAnsi="Nimbus Sans" w:eastAsia="Nimbus Sans" w:cs="Nimbus Sans"/>
          <w:b w:val="0"/>
          <w:i w:val="0"/>
          <w:color w:val="191D17"/>
          <w:sz w:val="21"/>
        </w:rPr>
        <w:t xml:space="preserve"> dados anonimizados de forma efetiva poderão ser conservados para estatística e melhoria.</w:t>
      </w:r>
    </w:p>
    <w:p>
      <w:r>
        <w:rPr>
          <w:rFonts w:ascii="Nimbus Sans" w:hAnsi="Nimbus Sans" w:eastAsia="Nimbus Sans" w:cs="Nimbus Sans"/>
          <w:b w:val="0"/>
          <w:i w:val="0"/>
          <w:color w:val="191D17"/>
          <w:sz w:val="21"/>
        </w:rPr>
        <w:t>Encerrada a finalidade, os dados serão eliminados, anonimizados ou bloqueados, salvo conservação autorizada ou exigida por lei. A exclusão em sistemas ativos pode não produzir remoção instantânea de backups, que permanecerão protegidos até a sobrescrita.</w:t>
      </w:r>
    </w:p>
    <w:p>
      <w:pPr>
        <w:pStyle w:val="Heading1"/>
        <w:keepNext/>
      </w:pPr>
      <w:r>
        <w:rPr>
          <w:rFonts w:ascii="Nimbus Sans" w:hAnsi="Nimbus Sans" w:eastAsia="Nimbus Sans" w:cs="Nimbus Sans"/>
          <w:b w:val="0"/>
          <w:i w:val="0"/>
          <w:color w:val="20B2AA"/>
          <w:sz w:val="32"/>
        </w:rPr>
        <w:t>14. Segurança da informação</w:t>
      </w:r>
    </w:p>
    <w:p>
      <w:r>
        <w:rPr>
          <w:rFonts w:ascii="Nimbus Sans" w:hAnsi="Nimbus Sans" w:eastAsia="Nimbus Sans" w:cs="Nimbus Sans"/>
          <w:b w:val="0"/>
          <w:i w:val="0"/>
          <w:color w:val="191D17"/>
          <w:sz w:val="21"/>
        </w:rPr>
        <w:t>A JobForged deverá adotar medidas técnicas e administrativas proporcionais ao risco, incluindo controle de acesso, segregação entre empresas, autenticação, menor privilégio, criptografia em trânsito e em repouso quando adequada, gestão de segredos, logs, backups, testes de restauração, varredura de arquivos, gestão de vulnerabilidades, treinamento e resposta a incidentes.</w:t>
      </w:r>
    </w:p>
    <w:p>
      <w:r>
        <w:rPr>
          <w:rFonts w:ascii="Nimbus Sans" w:hAnsi="Nimbus Sans" w:eastAsia="Nimbus Sans" w:cs="Nimbus Sans"/>
          <w:b w:val="0"/>
          <w:i w:val="0"/>
          <w:color w:val="191D17"/>
          <w:sz w:val="21"/>
        </w:rPr>
        <w:t>Nenhum ambiente é absolutamente invulnerável. Essa ressalva não exclui deveres legais nem autoriza negligência. A JobForged deve manter segurança compatível com a natureza dos dados, tecnologia disponível, custo, contexto e risco.</w:t>
      </w:r>
    </w:p>
    <w:p>
      <w:pPr>
        <w:pStyle w:val="Heading1"/>
        <w:keepNext/>
      </w:pPr>
      <w:r>
        <w:rPr>
          <w:rFonts w:ascii="Nimbus Sans" w:hAnsi="Nimbus Sans" w:eastAsia="Nimbus Sans" w:cs="Nimbus Sans"/>
          <w:b w:val="0"/>
          <w:i w:val="0"/>
          <w:color w:val="20B2AA"/>
          <w:sz w:val="32"/>
        </w:rPr>
        <w:t>15. Incidentes de segurança</w:t>
      </w:r>
    </w:p>
    <w:p>
      <w:r>
        <w:rPr>
          <w:rFonts w:ascii="Nimbus Sans" w:hAnsi="Nimbus Sans" w:eastAsia="Nimbus Sans" w:cs="Nimbus Sans"/>
          <w:b w:val="0"/>
          <w:i w:val="0"/>
          <w:color w:val="191D17"/>
          <w:sz w:val="21"/>
        </w:rPr>
        <w:t xml:space="preserve">Suspeitas podem ser comunicadas a </w:t>
      </w:r>
      <w:r>
        <w:rPr>
          <w:rFonts w:ascii="Nimbus Sans" w:hAnsi="Nimbus Sans" w:eastAsia="Nimbus Sans" w:cs="Nimbus Sans"/>
          <w:b/>
          <w:i w:val="0"/>
          <w:color w:val="B42318"/>
          <w:sz w:val="21"/>
        </w:rPr>
        <w:t>[E-MAIL DE SEGURANÇA OU PRIVACIDADE]</w:t>
      </w:r>
      <w:r>
        <w:rPr>
          <w:rFonts w:ascii="Nimbus Sans" w:hAnsi="Nimbus Sans" w:eastAsia="Nimbus Sans" w:cs="Nimbus Sans"/>
          <w:b w:val="0"/>
          <w:i w:val="0"/>
          <w:color w:val="191D17"/>
          <w:sz w:val="21"/>
        </w:rPr>
        <w:t>. A JobForged investigará, conterá e documentará incidentes e cooperará com empresas controladoras e fornecedores.</w:t>
      </w:r>
    </w:p>
    <w:p>
      <w:r>
        <w:rPr>
          <w:rFonts w:ascii="Nimbus Sans" w:hAnsi="Nimbus Sans" w:eastAsia="Nimbus Sans" w:cs="Nimbus Sans"/>
          <w:b w:val="0"/>
          <w:i w:val="0"/>
          <w:color w:val="191D17"/>
          <w:sz w:val="21"/>
        </w:rPr>
        <w:t>Quando o incidente puder acarretar risco ou dano relevante, a comunicação à ANPD e às pessoas afetadas será realizada pelo controlador responsável, nos prazos, conteúdo e forma exigidos. Como operadora, a JobForged notificará a empresa controladora sem atraso indevido conforme contrato e plano de resposta.</w:t>
      </w:r>
    </w:p>
    <w:p>
      <w:pPr>
        <w:pStyle w:val="Heading1"/>
        <w:keepNext/>
      </w:pPr>
      <w:r>
        <w:rPr>
          <w:rFonts w:ascii="Nimbus Sans" w:hAnsi="Nimbus Sans" w:eastAsia="Nimbus Sans" w:cs="Nimbus Sans"/>
          <w:b w:val="0"/>
          <w:i w:val="0"/>
          <w:color w:val="20B2AA"/>
          <w:sz w:val="32"/>
        </w:rPr>
        <w:t>16. Cookies e tecnologias semelhantes</w:t>
      </w:r>
    </w:p>
    <w:p>
      <w:r>
        <w:rPr>
          <w:rFonts w:ascii="Nimbus Sans" w:hAnsi="Nimbus Sans" w:eastAsia="Nimbus Sans" w:cs="Nimbus Sans"/>
          <w:b w:val="0"/>
          <w:i w:val="0"/>
          <w:color w:val="191D17"/>
          <w:sz w:val="21"/>
        </w:rPr>
        <w:t>Cookies são pequenos arquivos ou identificadores usados para operar, proteger, lembrar preferências, medir e, se habilitado, exibir publicidade. A JobForged poderá usar:</w:t>
      </w:r>
    </w:p>
    <w:tbl>
      <w:tblPr>
        <w:tblStyle w:val="TableGrid"/>
        <w:tblW w:type="dxa" w:w="9360"/>
        <w:jc w:val="left"/>
        <w:tblLayout w:type="fixed"/>
        <w:tblLook w:firstColumn="1" w:firstRow="1" w:lastColumn="0" w:lastRow="0" w:noHBand="0" w:noVBand="1" w:val="04A0"/>
        <w:tblInd w:w="120" w:type="dxa"/>
      </w:tblPr>
      <w:tblGrid>
        <w:gridCol w:w="2150"/>
        <w:gridCol w:w="3350"/>
        <w:gridCol w:w="3860"/>
      </w:tblGrid>
      <w:tr>
        <w:trPr>
          <w:cantSplit w:val="true"/>
          <w:tblHeader w:val="true"/>
        </w:trPr>
        <w:tc>
          <w:tcPr>
            <w:tcW w:type="dxa" w:w="2150"/>
            <w:vAlign w:val="top"/>
            <w:shd w:fill="17243D"/>
            <w:tcMar>
              <w:top w:w="100" w:type="dxa"/>
              <w:start w:w="120" w:type="dxa"/>
              <w:bottom w:w="100" w:type="dxa"/>
              <w:end w:w="120" w:type="dxa"/>
            </w:tcMar>
          </w:tcPr>
          <w:p>
            <w:pPr>
              <w:spacing w:after="0"/>
            </w:pPr>
            <w:r>
              <w:rPr>
                <w:rFonts w:ascii="Nimbus Sans" w:hAnsi="Nimbus Sans" w:eastAsia="Nimbus Sans" w:cs="Nimbus Sans"/>
                <w:b/>
                <w:i w:val="0"/>
                <w:color w:val="FFFFFF"/>
                <w:sz w:val="17"/>
              </w:rPr>
              <w:t>Categoria</w:t>
            </w:r>
          </w:p>
        </w:tc>
        <w:tc>
          <w:tcPr>
            <w:tcW w:type="dxa" w:w="3350"/>
            <w:vAlign w:val="top"/>
            <w:shd w:fill="17243D"/>
            <w:tcMar>
              <w:top w:w="100" w:type="dxa"/>
              <w:start w:w="120" w:type="dxa"/>
              <w:bottom w:w="100" w:type="dxa"/>
              <w:end w:w="120" w:type="dxa"/>
            </w:tcMar>
          </w:tcPr>
          <w:p>
            <w:pPr>
              <w:spacing w:after="0"/>
            </w:pPr>
            <w:r>
              <w:rPr>
                <w:rFonts w:ascii="Nimbus Sans" w:hAnsi="Nimbus Sans" w:eastAsia="Nimbus Sans" w:cs="Nimbus Sans"/>
                <w:b/>
                <w:i w:val="0"/>
                <w:color w:val="FFFFFF"/>
                <w:sz w:val="17"/>
              </w:rPr>
              <w:t>Finalidade</w:t>
            </w:r>
          </w:p>
        </w:tc>
        <w:tc>
          <w:tcPr>
            <w:tcW w:type="dxa" w:w="3860"/>
            <w:vAlign w:val="top"/>
            <w:shd w:fill="17243D"/>
            <w:tcMar>
              <w:top w:w="100" w:type="dxa"/>
              <w:start w:w="120" w:type="dxa"/>
              <w:bottom w:w="100" w:type="dxa"/>
              <w:end w:w="120" w:type="dxa"/>
            </w:tcMar>
          </w:tcPr>
          <w:p>
            <w:pPr>
              <w:spacing w:after="0"/>
            </w:pPr>
            <w:r>
              <w:rPr>
                <w:rFonts w:ascii="Nimbus Sans" w:hAnsi="Nimbus Sans" w:eastAsia="Nimbus Sans" w:cs="Nimbus Sans"/>
                <w:b/>
                <w:i w:val="0"/>
                <w:color w:val="FFFFFF"/>
                <w:sz w:val="17"/>
              </w:rPr>
              <w:t>Regra operacional</w:t>
            </w:r>
          </w:p>
        </w:tc>
      </w:tr>
      <w:tr>
        <w:trPr>
          <w:cantSplit w:val="true"/>
        </w:trPr>
        <w:tc>
          <w:tcPr>
            <w:tcW w:type="dxa" w:w="2150"/>
            <w:vAlign w:val="top"/>
            <w:tcMar>
              <w:top w:w="100" w:type="dxa"/>
              <w:start w:w="120" w:type="dxa"/>
              <w:bottom w:w="100" w:type="dxa"/>
              <w:end w:w="120" w:type="dxa"/>
            </w:tcMar>
          </w:tcPr>
          <w:p>
            <w:pPr>
              <w:spacing w:after="0"/>
            </w:pPr>
            <w:r>
              <w:rPr>
                <w:rFonts w:ascii="Nimbus Sans" w:hAnsi="Nimbus Sans" w:eastAsia="Nimbus Sans" w:cs="Nimbus Sans"/>
                <w:b w:val="0"/>
                <w:i w:val="0"/>
                <w:color w:val="191D17"/>
                <w:sz w:val="17"/>
              </w:rPr>
              <w:t>Necessários</w:t>
            </w:r>
          </w:p>
        </w:tc>
        <w:tc>
          <w:tcPr>
            <w:tcW w:type="dxa" w:w="3350"/>
            <w:vAlign w:val="top"/>
            <w:tcMar>
              <w:top w:w="100" w:type="dxa"/>
              <w:start w:w="120" w:type="dxa"/>
              <w:bottom w:w="100" w:type="dxa"/>
              <w:end w:w="120" w:type="dxa"/>
            </w:tcMar>
          </w:tcPr>
          <w:p>
            <w:pPr>
              <w:spacing w:after="0"/>
            </w:pPr>
            <w:r>
              <w:rPr>
                <w:rFonts w:ascii="Nimbus Sans" w:hAnsi="Nimbus Sans" w:eastAsia="Nimbus Sans" w:cs="Nimbus Sans"/>
                <w:b w:val="0"/>
                <w:i w:val="0"/>
                <w:color w:val="191D17"/>
                <w:sz w:val="17"/>
              </w:rPr>
              <w:t>autenticação, sessão, segurança, balanceamento e preferências essenciais</w:t>
            </w:r>
          </w:p>
        </w:tc>
        <w:tc>
          <w:tcPr>
            <w:tcW w:type="dxa" w:w="3860"/>
            <w:vAlign w:val="top"/>
            <w:tcMar>
              <w:top w:w="100" w:type="dxa"/>
              <w:start w:w="120" w:type="dxa"/>
              <w:bottom w:w="100" w:type="dxa"/>
              <w:end w:w="120" w:type="dxa"/>
            </w:tcMar>
          </w:tcPr>
          <w:p>
            <w:pPr>
              <w:spacing w:after="0"/>
            </w:pPr>
            <w:r>
              <w:rPr>
                <w:rFonts w:ascii="Nimbus Sans" w:hAnsi="Nimbus Sans" w:eastAsia="Nimbus Sans" w:cs="Nimbus Sans"/>
                <w:b w:val="0"/>
                <w:i w:val="0"/>
                <w:color w:val="191D17"/>
                <w:sz w:val="17"/>
              </w:rPr>
              <w:t>ativos quando indispensáveis; não usados para publicidade</w:t>
            </w:r>
          </w:p>
        </w:tc>
      </w:tr>
      <w:tr>
        <w:trPr>
          <w:cantSplit w:val="true"/>
        </w:trPr>
        <w:tc>
          <w:tcPr>
            <w:tcW w:type="dxa" w:w="2150"/>
            <w:vAlign w:val="top"/>
            <w:shd w:fill="F7FAFA"/>
            <w:tcMar>
              <w:top w:w="100" w:type="dxa"/>
              <w:start w:w="120" w:type="dxa"/>
              <w:bottom w:w="100" w:type="dxa"/>
              <w:end w:w="120" w:type="dxa"/>
            </w:tcMar>
          </w:tcPr>
          <w:p>
            <w:pPr>
              <w:spacing w:after="0"/>
            </w:pPr>
            <w:r>
              <w:rPr>
                <w:rFonts w:ascii="Nimbus Sans" w:hAnsi="Nimbus Sans" w:eastAsia="Nimbus Sans" w:cs="Nimbus Sans"/>
                <w:b w:val="0"/>
                <w:i w:val="0"/>
                <w:color w:val="191D17"/>
                <w:sz w:val="17"/>
              </w:rPr>
              <w:t>Funcionais</w:t>
            </w:r>
          </w:p>
        </w:tc>
        <w:tc>
          <w:tcPr>
            <w:tcW w:type="dxa" w:w="3350"/>
            <w:vAlign w:val="top"/>
            <w:shd w:fill="F7FAFA"/>
            <w:tcMar>
              <w:top w:w="100" w:type="dxa"/>
              <w:start w:w="120" w:type="dxa"/>
              <w:bottom w:w="100" w:type="dxa"/>
              <w:end w:w="120" w:type="dxa"/>
            </w:tcMar>
          </w:tcPr>
          <w:p>
            <w:pPr>
              <w:spacing w:after="0"/>
            </w:pPr>
            <w:r>
              <w:rPr>
                <w:rFonts w:ascii="Nimbus Sans" w:hAnsi="Nimbus Sans" w:eastAsia="Nimbus Sans" w:cs="Nimbus Sans"/>
                <w:b w:val="0"/>
                <w:i w:val="0"/>
                <w:color w:val="191D17"/>
                <w:sz w:val="17"/>
              </w:rPr>
              <w:t>idioma, interface e conveniências</w:t>
            </w:r>
          </w:p>
        </w:tc>
        <w:tc>
          <w:tcPr>
            <w:tcW w:type="dxa" w:w="3860"/>
            <w:vAlign w:val="top"/>
            <w:shd w:fill="F7FAFA"/>
            <w:tcMar>
              <w:top w:w="100" w:type="dxa"/>
              <w:start w:w="120" w:type="dxa"/>
              <w:bottom w:w="100" w:type="dxa"/>
              <w:end w:w="120" w:type="dxa"/>
            </w:tcMar>
          </w:tcPr>
          <w:p>
            <w:pPr>
              <w:spacing w:after="0"/>
            </w:pPr>
            <w:r>
              <w:rPr>
                <w:rFonts w:ascii="Nimbus Sans" w:hAnsi="Nimbus Sans" w:eastAsia="Nimbus Sans" w:cs="Nimbus Sans"/>
                <w:b w:val="0"/>
                <w:i w:val="0"/>
                <w:color w:val="191D17"/>
                <w:sz w:val="17"/>
              </w:rPr>
              <w:t>consentimento quando exigido; revogáveis</w:t>
            </w:r>
          </w:p>
        </w:tc>
      </w:tr>
      <w:tr>
        <w:trPr>
          <w:cantSplit w:val="true"/>
        </w:trPr>
        <w:tc>
          <w:tcPr>
            <w:tcW w:type="dxa" w:w="2150"/>
            <w:vAlign w:val="top"/>
            <w:tcMar>
              <w:top w:w="100" w:type="dxa"/>
              <w:start w:w="120" w:type="dxa"/>
              <w:bottom w:w="100" w:type="dxa"/>
              <w:end w:w="120" w:type="dxa"/>
            </w:tcMar>
          </w:tcPr>
          <w:p>
            <w:pPr>
              <w:spacing w:after="0"/>
            </w:pPr>
            <w:r>
              <w:rPr>
                <w:rFonts w:ascii="Nimbus Sans" w:hAnsi="Nimbus Sans" w:eastAsia="Nimbus Sans" w:cs="Nimbus Sans"/>
                <w:b w:val="0"/>
                <w:i w:val="0"/>
                <w:color w:val="191D17"/>
                <w:sz w:val="17"/>
              </w:rPr>
              <w:t>Analíticos</w:t>
            </w:r>
          </w:p>
        </w:tc>
        <w:tc>
          <w:tcPr>
            <w:tcW w:type="dxa" w:w="3350"/>
            <w:vAlign w:val="top"/>
            <w:tcMar>
              <w:top w:w="100" w:type="dxa"/>
              <w:start w:w="120" w:type="dxa"/>
              <w:bottom w:w="100" w:type="dxa"/>
              <w:end w:w="120" w:type="dxa"/>
            </w:tcMar>
          </w:tcPr>
          <w:p>
            <w:pPr>
              <w:spacing w:after="0"/>
            </w:pPr>
            <w:r>
              <w:rPr>
                <w:rFonts w:ascii="Nimbus Sans" w:hAnsi="Nimbus Sans" w:eastAsia="Nimbus Sans" w:cs="Nimbus Sans"/>
                <w:b w:val="0"/>
                <w:i w:val="0"/>
                <w:color w:val="191D17"/>
                <w:sz w:val="17"/>
              </w:rPr>
              <w:t>audiência, desempenho, erros e melhoria</w:t>
            </w:r>
          </w:p>
        </w:tc>
        <w:tc>
          <w:tcPr>
            <w:tcW w:type="dxa" w:w="3860"/>
            <w:vAlign w:val="top"/>
            <w:tcMar>
              <w:top w:w="100" w:type="dxa"/>
              <w:start w:w="120" w:type="dxa"/>
              <w:bottom w:w="100" w:type="dxa"/>
              <w:end w:w="120" w:type="dxa"/>
            </w:tcMar>
          </w:tcPr>
          <w:p>
            <w:pPr>
              <w:spacing w:after="0"/>
            </w:pPr>
            <w:r>
              <w:rPr>
                <w:rFonts w:ascii="Nimbus Sans" w:hAnsi="Nimbus Sans" w:eastAsia="Nimbus Sans" w:cs="Nimbus Sans"/>
                <w:b w:val="0"/>
                <w:i w:val="0"/>
                <w:color w:val="191D17"/>
                <w:sz w:val="17"/>
              </w:rPr>
              <w:t>ativados conforme base legal e configuração; preferencialmente minimizados</w:t>
            </w:r>
          </w:p>
        </w:tc>
      </w:tr>
      <w:tr>
        <w:trPr>
          <w:cantSplit w:val="true"/>
        </w:trPr>
        <w:tc>
          <w:tcPr>
            <w:tcW w:type="dxa" w:w="2150"/>
            <w:vAlign w:val="top"/>
            <w:shd w:fill="F7FAFA"/>
            <w:tcMar>
              <w:top w:w="100" w:type="dxa"/>
              <w:start w:w="120" w:type="dxa"/>
              <w:bottom w:w="100" w:type="dxa"/>
              <w:end w:w="120" w:type="dxa"/>
            </w:tcMar>
          </w:tcPr>
          <w:p>
            <w:pPr>
              <w:spacing w:after="0"/>
            </w:pPr>
            <w:r>
              <w:rPr>
                <w:rFonts w:ascii="Nimbus Sans" w:hAnsi="Nimbus Sans" w:eastAsia="Nimbus Sans" w:cs="Nimbus Sans"/>
                <w:b w:val="0"/>
                <w:i w:val="0"/>
                <w:color w:val="191D17"/>
                <w:sz w:val="17"/>
              </w:rPr>
              <w:t>Publicitários</w:t>
            </w:r>
          </w:p>
        </w:tc>
        <w:tc>
          <w:tcPr>
            <w:tcW w:type="dxa" w:w="3350"/>
            <w:vAlign w:val="top"/>
            <w:shd w:fill="F7FAFA"/>
            <w:tcMar>
              <w:top w:w="100" w:type="dxa"/>
              <w:start w:w="120" w:type="dxa"/>
              <w:bottom w:w="100" w:type="dxa"/>
              <w:end w:w="120" w:type="dxa"/>
            </w:tcMar>
          </w:tcPr>
          <w:p>
            <w:pPr>
              <w:spacing w:after="0"/>
            </w:pPr>
            <w:r>
              <w:rPr>
                <w:rFonts w:ascii="Nimbus Sans" w:hAnsi="Nimbus Sans" w:eastAsia="Nimbus Sans" w:cs="Nimbus Sans"/>
                <w:b w:val="0"/>
                <w:i w:val="0"/>
                <w:color w:val="191D17"/>
                <w:sz w:val="17"/>
              </w:rPr>
              <w:t>medição, limitação de frequência, segmentação e anúncios personalizados</w:t>
            </w:r>
          </w:p>
        </w:tc>
        <w:tc>
          <w:tcPr>
            <w:tcW w:type="dxa" w:w="3860"/>
            <w:vAlign w:val="top"/>
            <w:shd w:fill="F7FAFA"/>
            <w:tcMar>
              <w:top w:w="100" w:type="dxa"/>
              <w:start w:w="120" w:type="dxa"/>
              <w:bottom w:w="100" w:type="dxa"/>
              <w:end w:w="120" w:type="dxa"/>
            </w:tcMar>
          </w:tcPr>
          <w:p>
            <w:pPr>
              <w:spacing w:after="0"/>
            </w:pPr>
            <w:r>
              <w:rPr>
                <w:rFonts w:ascii="Nimbus Sans" w:hAnsi="Nimbus Sans" w:eastAsia="Nimbus Sans" w:cs="Nimbus Sans"/>
                <w:b w:val="0"/>
                <w:i w:val="0"/>
                <w:color w:val="191D17"/>
                <w:sz w:val="17"/>
              </w:rPr>
              <w:t>somente após consentimento aplicável; rejeição deve ser simples</w:t>
            </w:r>
          </w:p>
        </w:tc>
      </w:tr>
    </w:tbl>
    <w:p>
      <w:pPr>
        <w:spacing w:after="40"/>
      </w:pPr>
    </w:p>
    <w:p>
      <w:r>
        <w:rPr>
          <w:rFonts w:ascii="Nimbus Sans" w:hAnsi="Nimbus Sans" w:eastAsia="Nimbus Sans" w:cs="Nimbus Sans"/>
          <w:b w:val="0"/>
          <w:i w:val="0"/>
          <w:color w:val="191D17"/>
          <w:sz w:val="21"/>
        </w:rPr>
        <w:t xml:space="preserve">O banner deverá oferecer aceitar, rejeitar e personalizar categorias não necessárias com linguagem clara e destaque equivalente. Caixas não devem vir pré-marcadas. A pessoa poderá alterar escolhas em </w:t>
      </w:r>
      <w:r>
        <w:rPr>
          <w:rFonts w:ascii="Nimbus Sans" w:hAnsi="Nimbus Sans" w:eastAsia="Nimbus Sans" w:cs="Nimbus Sans"/>
          <w:b/>
          <w:i w:val="0"/>
          <w:color w:val="B42318"/>
          <w:sz w:val="21"/>
        </w:rPr>
        <w:t>[LINK OU BOTÃO “PREFERÊNCIAS DE COOKIES”]</w:t>
      </w:r>
      <w:r>
        <w:rPr>
          <w:rFonts w:ascii="Nimbus Sans" w:hAnsi="Nimbus Sans" w:eastAsia="Nimbus Sans" w:cs="Nimbus Sans"/>
          <w:b w:val="0"/>
          <w:i w:val="0"/>
          <w:color w:val="191D17"/>
          <w:sz w:val="21"/>
        </w:rPr>
        <w:t>. A rejeição de cookies não necessários não impedirá funções essenciais, embora possa reduzir conveniências.</w:t>
      </w:r>
    </w:p>
    <w:p>
      <w:r>
        <w:rPr>
          <w:rFonts w:ascii="Nimbus Sans" w:hAnsi="Nimbus Sans" w:eastAsia="Nimbus Sans" w:cs="Nimbus Sans"/>
          <w:b w:val="0"/>
          <w:i w:val="0"/>
          <w:color w:val="191D17"/>
          <w:sz w:val="21"/>
        </w:rPr>
        <w:t xml:space="preserve">A lista de cookies, fornecedores, finalidades e durações deverá ser mantida no gerenciador de consentimento ou em </w:t>
      </w:r>
      <w:r>
        <w:rPr>
          <w:rFonts w:ascii="Nimbus Sans" w:hAnsi="Nimbus Sans" w:eastAsia="Nimbus Sans" w:cs="Nimbus Sans"/>
          <w:b/>
          <w:i w:val="0"/>
          <w:color w:val="B42318"/>
          <w:sz w:val="21"/>
        </w:rPr>
        <w:t>[URL DO AVISO DE COOKIES]</w:t>
      </w:r>
      <w:r>
        <w:rPr>
          <w:rFonts w:ascii="Nimbus Sans" w:hAnsi="Nimbus Sans" w:eastAsia="Nimbus Sans" w:cs="Nimbus Sans"/>
          <w:b w:val="0"/>
          <w:i w:val="0"/>
          <w:color w:val="191D17"/>
          <w:sz w:val="21"/>
        </w:rPr>
        <w:t xml:space="preserve"> e refletir os scripts efetivamente instalados.</w:t>
      </w:r>
    </w:p>
    <w:p>
      <w:pPr>
        <w:pStyle w:val="Heading1"/>
        <w:keepNext/>
      </w:pPr>
      <w:r>
        <w:rPr>
          <w:rFonts w:ascii="Nimbus Sans" w:hAnsi="Nimbus Sans" w:eastAsia="Nimbus Sans" w:cs="Nimbus Sans"/>
          <w:b w:val="0"/>
          <w:i w:val="0"/>
          <w:color w:val="20B2AA"/>
          <w:sz w:val="32"/>
        </w:rPr>
        <w:t>17. Publicidade e conteúdo patrocinado</w:t>
      </w:r>
    </w:p>
    <w:p>
      <w:r>
        <w:rPr>
          <w:rFonts w:ascii="Nimbus Sans" w:hAnsi="Nimbus Sans" w:eastAsia="Nimbus Sans" w:cs="Nimbus Sans"/>
          <w:b w:val="0"/>
          <w:i w:val="0"/>
          <w:color w:val="191D17"/>
          <w:sz w:val="21"/>
        </w:rPr>
        <w:t>A plataforma poderá apresentar anúncios, vagas patrocinadas, recomendações comerciais e conteúdos de parceiros. Materiais pagos serão identificados como “Anúncio”, “Patrocinado” ou expressão equivalente. A publicidade não representa garantia ou endosso do anunciante, salvo indicação expressa.</w:t>
      </w:r>
    </w:p>
    <w:p>
      <w:r>
        <w:rPr>
          <w:rFonts w:ascii="Nimbus Sans" w:hAnsi="Nimbus Sans" w:eastAsia="Nimbus Sans" w:cs="Nimbus Sans"/>
          <w:b w:val="0"/>
          <w:i w:val="0"/>
          <w:color w:val="191D17"/>
          <w:sz w:val="21"/>
        </w:rPr>
        <w:t>Anúncios contextuais podem usar o conteúdo da página. Anúncios personalizados, retargeting ou compartilhamento de identificadores dependerão de consentimento quando aplicável e das escolhas de cookies. Não serão criados segmentos publicitários com dados sensíveis de candidatos nem publicidade direcionada a crianças.</w:t>
      </w:r>
    </w:p>
    <w:p>
      <w:pPr>
        <w:pStyle w:val="Heading1"/>
        <w:keepNext/>
      </w:pPr>
      <w:r>
        <w:rPr>
          <w:rFonts w:ascii="Nimbus Sans" w:hAnsi="Nimbus Sans" w:eastAsia="Nimbus Sans" w:cs="Nimbus Sans"/>
          <w:b w:val="0"/>
          <w:i w:val="0"/>
          <w:color w:val="20B2AA"/>
          <w:sz w:val="32"/>
        </w:rPr>
        <w:t>18. Direitos das pessoas titulares</w:t>
      </w:r>
    </w:p>
    <w:p>
      <w:r>
        <w:rPr>
          <w:rFonts w:ascii="Nimbus Sans" w:hAnsi="Nimbus Sans" w:eastAsia="Nimbus Sans" w:cs="Nimbus Sans"/>
          <w:b w:val="0"/>
          <w:i w:val="0"/>
          <w:color w:val="191D17"/>
          <w:sz w:val="21"/>
        </w:rPr>
        <w:t>Nos termos da LGPD, a pessoa pode solicitar, conforme aplicável:</w:t>
      </w:r>
    </w:p>
    <w:p>
      <w:pPr>
        <w:pStyle w:val="ListBullet"/>
      </w:pPr>
      <w:r>
        <w:rPr>
          <w:rFonts w:ascii="Nimbus Sans" w:hAnsi="Nimbus Sans" w:eastAsia="Nimbus Sans" w:cs="Nimbus Sans"/>
          <w:b w:val="0"/>
          <w:i w:val="0"/>
          <w:color w:val="191D17"/>
          <w:sz w:val="21"/>
        </w:rPr>
        <w:t xml:space="preserve"> confirmação da existência de tratamento e acesso;</w:t>
      </w:r>
    </w:p>
    <w:p>
      <w:pPr>
        <w:pStyle w:val="ListBullet"/>
      </w:pPr>
      <w:r>
        <w:rPr>
          <w:rFonts w:ascii="Nimbus Sans" w:hAnsi="Nimbus Sans" w:eastAsia="Nimbus Sans" w:cs="Nimbus Sans"/>
          <w:b w:val="0"/>
          <w:i w:val="0"/>
          <w:color w:val="191D17"/>
          <w:sz w:val="21"/>
        </w:rPr>
        <w:t xml:space="preserve"> correção de dados incompletos, inexatos ou desatualizados;</w:t>
      </w:r>
    </w:p>
    <w:p>
      <w:pPr>
        <w:pStyle w:val="ListBullet"/>
      </w:pPr>
      <w:r>
        <w:rPr>
          <w:rFonts w:ascii="Nimbus Sans" w:hAnsi="Nimbus Sans" w:eastAsia="Nimbus Sans" w:cs="Nimbus Sans"/>
          <w:b w:val="0"/>
          <w:i w:val="0"/>
          <w:color w:val="191D17"/>
          <w:sz w:val="21"/>
        </w:rPr>
        <w:t xml:space="preserve"> anonimização, bloqueio ou eliminação de dados desnecessários, excessivos ou tratados em desconformidade;</w:t>
      </w:r>
    </w:p>
    <w:p>
      <w:pPr>
        <w:pStyle w:val="ListBullet"/>
      </w:pPr>
      <w:r>
        <w:rPr>
          <w:rFonts w:ascii="Nimbus Sans" w:hAnsi="Nimbus Sans" w:eastAsia="Nimbus Sans" w:cs="Nimbus Sans"/>
          <w:b w:val="0"/>
          <w:i w:val="0"/>
          <w:color w:val="191D17"/>
          <w:sz w:val="21"/>
        </w:rPr>
        <w:t xml:space="preserve"> portabilidade, observada regulamentação e segredos;</w:t>
      </w:r>
    </w:p>
    <w:p>
      <w:pPr>
        <w:pStyle w:val="ListBullet"/>
      </w:pPr>
      <w:r>
        <w:rPr>
          <w:rFonts w:ascii="Nimbus Sans" w:hAnsi="Nimbus Sans" w:eastAsia="Nimbus Sans" w:cs="Nimbus Sans"/>
          <w:b w:val="0"/>
          <w:i w:val="0"/>
          <w:color w:val="191D17"/>
          <w:sz w:val="21"/>
        </w:rPr>
        <w:t xml:space="preserve"> eliminação de dados tratados com consentimento, ressalvadas hipóteses de conservação;</w:t>
      </w:r>
    </w:p>
    <w:p>
      <w:pPr>
        <w:pStyle w:val="ListBullet"/>
      </w:pPr>
      <w:r>
        <w:rPr>
          <w:rFonts w:ascii="Nimbus Sans" w:hAnsi="Nimbus Sans" w:eastAsia="Nimbus Sans" w:cs="Nimbus Sans"/>
          <w:b w:val="0"/>
          <w:i w:val="0"/>
          <w:color w:val="191D17"/>
          <w:sz w:val="21"/>
        </w:rPr>
        <w:t xml:space="preserve"> informação sobre compartilhamentos e sobre a possibilidade e consequências de não consentir;</w:t>
      </w:r>
    </w:p>
    <w:p>
      <w:pPr>
        <w:pStyle w:val="ListBullet"/>
      </w:pPr>
      <w:r>
        <w:rPr>
          <w:rFonts w:ascii="Nimbus Sans" w:hAnsi="Nimbus Sans" w:eastAsia="Nimbus Sans" w:cs="Nimbus Sans"/>
          <w:b w:val="0"/>
          <w:i w:val="0"/>
          <w:color w:val="191D17"/>
          <w:sz w:val="21"/>
        </w:rPr>
        <w:t xml:space="preserve"> revogação do consentimento e oposição a tratamento irregular;</w:t>
      </w:r>
    </w:p>
    <w:p>
      <w:pPr>
        <w:pStyle w:val="ListBullet"/>
      </w:pPr>
      <w:r>
        <w:rPr>
          <w:rFonts w:ascii="Nimbus Sans" w:hAnsi="Nimbus Sans" w:eastAsia="Nimbus Sans" w:cs="Nimbus Sans"/>
          <w:b w:val="0"/>
          <w:i w:val="0"/>
          <w:color w:val="191D17"/>
          <w:sz w:val="21"/>
        </w:rPr>
        <w:t xml:space="preserve"> revisão e informação sobre decisões automatizadas, quando aplicável;</w:t>
      </w:r>
    </w:p>
    <w:p>
      <w:pPr>
        <w:pStyle w:val="ListBullet"/>
      </w:pPr>
      <w:r>
        <w:rPr>
          <w:rFonts w:ascii="Nimbus Sans" w:hAnsi="Nimbus Sans" w:eastAsia="Nimbus Sans" w:cs="Nimbus Sans"/>
          <w:b w:val="0"/>
          <w:i w:val="0"/>
          <w:color w:val="191D17"/>
          <w:sz w:val="21"/>
        </w:rPr>
        <w:t xml:space="preserve"> petição perante a ANPD e órgãos de defesa do consumidor.</w:t>
      </w:r>
    </w:p>
    <w:p>
      <w:r>
        <w:rPr>
          <w:rFonts w:ascii="Nimbus Sans" w:hAnsi="Nimbus Sans" w:eastAsia="Nimbus Sans" w:cs="Nimbus Sans"/>
          <w:b w:val="0"/>
          <w:i w:val="0"/>
          <w:color w:val="191D17"/>
          <w:sz w:val="21"/>
        </w:rPr>
        <w:t xml:space="preserve">Solicitações devem ser enviadas a </w:t>
      </w:r>
      <w:r>
        <w:rPr>
          <w:rFonts w:ascii="Nimbus Sans" w:hAnsi="Nimbus Sans" w:eastAsia="Nimbus Sans" w:cs="Nimbus Sans"/>
          <w:b/>
          <w:i w:val="0"/>
          <w:color w:val="B42318"/>
          <w:sz w:val="21"/>
        </w:rPr>
        <w:t>[E-MAIL DE PRIVACIDADE]</w:t>
      </w:r>
      <w:r>
        <w:rPr>
          <w:rFonts w:ascii="Nimbus Sans" w:hAnsi="Nimbus Sans" w:eastAsia="Nimbus Sans" w:cs="Nimbus Sans"/>
          <w:b w:val="0"/>
          <w:i w:val="0"/>
          <w:color w:val="191D17"/>
          <w:sz w:val="21"/>
        </w:rPr>
        <w:t>. Poderá ser necessária verificação proporcional de identidade. Pedidos ligados a uma vaga específica poderão ser direcionados à empresa controladora, com cooperação da JobForged. Não será cobrada taxa por pedidos ordinários, salvo hipótese legal.</w:t>
      </w:r>
    </w:p>
    <w:p>
      <w:pPr>
        <w:pStyle w:val="Heading1"/>
        <w:keepNext/>
      </w:pPr>
      <w:r>
        <w:rPr>
          <w:rFonts w:ascii="Nimbus Sans" w:hAnsi="Nimbus Sans" w:eastAsia="Nimbus Sans" w:cs="Nimbus Sans"/>
          <w:b w:val="0"/>
          <w:i w:val="0"/>
          <w:color w:val="20B2AA"/>
          <w:sz w:val="32"/>
        </w:rPr>
        <w:t>19. Crianças e adolescentes</w:t>
      </w:r>
    </w:p>
    <w:p>
      <w:r>
        <w:rPr>
          <w:rFonts w:ascii="Nimbus Sans" w:hAnsi="Nimbus Sans" w:eastAsia="Nimbus Sans" w:cs="Nimbus Sans"/>
          <w:b w:val="0"/>
          <w:i w:val="0"/>
          <w:color w:val="191D17"/>
          <w:sz w:val="21"/>
        </w:rPr>
        <w:t>A plataforma não é dirigida a crianças. Processos de jovem aprendiz, estágio ou outras oportunidades que envolvam adolescentes devem observar capacidade, melhor interesse, legislação trabalhista, transparência apropriada e participação de responsável quando exigida.</w:t>
      </w:r>
    </w:p>
    <w:p>
      <w:r>
        <w:rPr>
          <w:rFonts w:ascii="Nimbus Sans" w:hAnsi="Nimbus Sans" w:eastAsia="Nimbus Sans" w:cs="Nimbus Sans"/>
          <w:b w:val="0"/>
          <w:i w:val="0"/>
          <w:color w:val="191D17"/>
          <w:sz w:val="21"/>
        </w:rPr>
        <w:t>Dados de crianças somente poderão ser tratados com consentimento específico e em destaque de pelo menos um responsável legal, salvo exceções legais. Não será realizada publicidade comportamental baseada em dados de crianças. Se houver coleta inadequada, o canal de privacidade deverá ser contatado para avaliação e remoção.</w:t>
      </w:r>
    </w:p>
    <w:p>
      <w:pPr>
        <w:pStyle w:val="Heading1"/>
        <w:keepNext/>
      </w:pPr>
      <w:r>
        <w:rPr>
          <w:rFonts w:ascii="Nimbus Sans" w:hAnsi="Nimbus Sans" w:eastAsia="Nimbus Sans" w:cs="Nimbus Sans"/>
          <w:b w:val="0"/>
          <w:i w:val="0"/>
          <w:color w:val="20B2AA"/>
          <w:sz w:val="32"/>
        </w:rPr>
        <w:t>20. Comunicações e preferências</w:t>
      </w:r>
    </w:p>
    <w:p>
      <w:r>
        <w:rPr>
          <w:rFonts w:ascii="Nimbus Sans" w:hAnsi="Nimbus Sans" w:eastAsia="Nimbus Sans" w:cs="Nimbus Sans"/>
          <w:b w:val="0"/>
          <w:i w:val="0"/>
          <w:color w:val="191D17"/>
          <w:sz w:val="21"/>
        </w:rPr>
        <w:t>Mensagens operacionais necessárias à conta, candidatura, segurança ou contrato podem ser enviadas independentemente de marketing. Comunicações promocionais deverão permitir descadastro simples. O bloqueio de um canal poderá limitar avisos de seleção; empresas devem oferecer alternativa razoável quando possível.</w:t>
      </w:r>
    </w:p>
    <w:p>
      <w:r>
        <w:rPr>
          <w:rFonts w:ascii="Nimbus Sans" w:hAnsi="Nimbus Sans" w:eastAsia="Nimbus Sans" w:cs="Nimbus Sans"/>
          <w:b w:val="0"/>
          <w:i w:val="0"/>
          <w:color w:val="191D17"/>
          <w:sz w:val="21"/>
        </w:rPr>
        <w:t>O uso de WhatsApp dependerá da habilitação do canal, das regras do provedor, da finalidade e da base legal. A pessoa deve ser informada sobre o responsável, a finalidade e como interromper mensagens não essenciais.</w:t>
      </w:r>
    </w:p>
    <w:p>
      <w:pPr>
        <w:pStyle w:val="Heading1"/>
        <w:keepNext/>
      </w:pPr>
      <w:r>
        <w:rPr>
          <w:rFonts w:ascii="Nimbus Sans" w:hAnsi="Nimbus Sans" w:eastAsia="Nimbus Sans" w:cs="Nimbus Sans"/>
          <w:b w:val="0"/>
          <w:i w:val="0"/>
          <w:color w:val="20B2AA"/>
          <w:sz w:val="32"/>
        </w:rPr>
        <w:t>21. Links e serviços de terceiros</w:t>
      </w:r>
    </w:p>
    <w:p>
      <w:r>
        <w:rPr>
          <w:rFonts w:ascii="Nimbus Sans" w:hAnsi="Nimbus Sans" w:eastAsia="Nimbus Sans" w:cs="Nimbus Sans"/>
          <w:b w:val="0"/>
          <w:i w:val="0"/>
          <w:color w:val="191D17"/>
          <w:sz w:val="21"/>
        </w:rPr>
        <w:t>Sites, integrações ou páginas de terceiros possuem políticas próprias. A JobForged não controla suas práticas, mas deverá selecionar fornecedores de forma diligente e informar quando a pessoa sair do ambiente ou iniciar interação externa relevante.</w:t>
      </w:r>
    </w:p>
    <w:p>
      <w:pPr>
        <w:pStyle w:val="Heading1"/>
        <w:keepNext/>
      </w:pPr>
      <w:r>
        <w:rPr>
          <w:rFonts w:ascii="Nimbus Sans" w:hAnsi="Nimbus Sans" w:eastAsia="Nimbus Sans" w:cs="Nimbus Sans"/>
          <w:b w:val="0"/>
          <w:i w:val="0"/>
          <w:color w:val="20B2AA"/>
          <w:sz w:val="32"/>
        </w:rPr>
        <w:t>22. Alterações desta Política</w:t>
      </w:r>
    </w:p>
    <w:p>
      <w:r>
        <w:rPr>
          <w:rFonts w:ascii="Nimbus Sans" w:hAnsi="Nimbus Sans" w:eastAsia="Nimbus Sans" w:cs="Nimbus Sans"/>
          <w:b w:val="0"/>
          <w:i w:val="0"/>
          <w:color w:val="191D17"/>
          <w:sz w:val="21"/>
        </w:rPr>
        <w:t>Esta Política poderá ser atualizada para refletir mudanças legais, regulatórias, técnicas ou operacionais. Alterações materiais serão comunicadas por meio adequado e entrarão em vigor na data informada. Quando a mudança depender de novo consentimento, ele será solicitado antes do tratamento correspondente.</w:t>
      </w:r>
    </w:p>
    <w:p>
      <w:r>
        <w:rPr>
          <w:rFonts w:ascii="Nimbus Sans" w:hAnsi="Nimbus Sans" w:eastAsia="Nimbus Sans" w:cs="Nimbus Sans"/>
          <w:b w:val="0"/>
          <w:i w:val="0"/>
          <w:color w:val="191D17"/>
          <w:sz w:val="21"/>
        </w:rPr>
        <w:t xml:space="preserve">Versões anteriores deverão ser preservadas em </w:t>
      </w:r>
      <w:r>
        <w:rPr>
          <w:rFonts w:ascii="Nimbus Sans" w:hAnsi="Nimbus Sans" w:eastAsia="Nimbus Sans" w:cs="Nimbus Sans"/>
          <w:b/>
          <w:i w:val="0"/>
          <w:color w:val="B42318"/>
          <w:sz w:val="21"/>
        </w:rPr>
        <w:t>[URL OU REPOSITÓRIO DE VERSÕES]</w:t>
      </w:r>
      <w:r>
        <w:rPr>
          <w:rFonts w:ascii="Nimbus Sans" w:hAnsi="Nimbus Sans" w:eastAsia="Nimbus Sans" w:cs="Nimbus Sans"/>
          <w:b w:val="0"/>
          <w:i w:val="0"/>
          <w:color w:val="191D17"/>
          <w:sz w:val="21"/>
        </w:rPr>
        <w:t>. O uso continuado não substituirá consentimento quando ele for legalmente necessário.</w:t>
      </w:r>
    </w:p>
    <w:p>
      <w:pPr>
        <w:pStyle w:val="Heading1"/>
        <w:keepNext/>
      </w:pPr>
      <w:r>
        <w:rPr>
          <w:rFonts w:ascii="Nimbus Sans" w:hAnsi="Nimbus Sans" w:eastAsia="Nimbus Sans" w:cs="Nimbus Sans"/>
          <w:b w:val="0"/>
          <w:i w:val="0"/>
          <w:color w:val="20B2AA"/>
          <w:sz w:val="32"/>
        </w:rPr>
        <w:t>23. Contato e reclamações</w:t>
      </w:r>
    </w:p>
    <w:p>
      <w:r>
        <w:rPr>
          <w:rFonts w:ascii="Nimbus Sans" w:hAnsi="Nimbus Sans" w:eastAsia="Nimbus Sans" w:cs="Nimbus Sans"/>
          <w:b/>
          <w:i w:val="0"/>
          <w:color w:val="191D17"/>
          <w:sz w:val="21"/>
        </w:rPr>
        <w:t>Responsável:</w:t>
      </w:r>
      <w:r>
        <w:rPr>
          <w:rFonts w:ascii="Nimbus Sans" w:hAnsi="Nimbus Sans" w:eastAsia="Nimbus Sans" w:cs="Nimbus Sans"/>
          <w:b w:val="0"/>
          <w:i w:val="0"/>
          <w:color w:val="191D17"/>
          <w:sz w:val="21"/>
        </w:rPr>
        <w:t xml:space="preserve"> </w:t>
      </w:r>
      <w:r>
        <w:rPr>
          <w:rFonts w:ascii="Nimbus Sans" w:hAnsi="Nimbus Sans" w:eastAsia="Nimbus Sans" w:cs="Nimbus Sans"/>
          <w:b/>
          <w:i w:val="0"/>
          <w:color w:val="B42318"/>
          <w:sz w:val="21"/>
        </w:rPr>
        <w:t>[RAZÃO SOCIAL / NOME EMPRESARIAL]</w:t>
      </w:r>
    </w:p>
    <w:p>
      <w:r>
        <w:rPr>
          <w:rFonts w:ascii="Nimbus Sans" w:hAnsi="Nimbus Sans" w:eastAsia="Nimbus Sans" w:cs="Nimbus Sans"/>
          <w:b/>
          <w:i w:val="0"/>
          <w:color w:val="191D17"/>
          <w:sz w:val="21"/>
        </w:rPr>
        <w:t>CNPJ/CPF:</w:t>
      </w:r>
      <w:r>
        <w:rPr>
          <w:rFonts w:ascii="Nimbus Sans" w:hAnsi="Nimbus Sans" w:eastAsia="Nimbus Sans" w:cs="Nimbus Sans"/>
          <w:b w:val="0"/>
          <w:i w:val="0"/>
          <w:color w:val="191D17"/>
          <w:sz w:val="21"/>
        </w:rPr>
        <w:t xml:space="preserve"> </w:t>
      </w:r>
      <w:r>
        <w:rPr>
          <w:rFonts w:ascii="Nimbus Sans" w:hAnsi="Nimbus Sans" w:eastAsia="Nimbus Sans" w:cs="Nimbus Sans"/>
          <w:b/>
          <w:i w:val="0"/>
          <w:color w:val="B42318"/>
          <w:sz w:val="21"/>
        </w:rPr>
        <w:t>[CNPJ/CPF]</w:t>
      </w:r>
    </w:p>
    <w:p>
      <w:r>
        <w:rPr>
          <w:rFonts w:ascii="Nimbus Sans" w:hAnsi="Nimbus Sans" w:eastAsia="Nimbus Sans" w:cs="Nimbus Sans"/>
          <w:b/>
          <w:i w:val="0"/>
          <w:color w:val="191D17"/>
          <w:sz w:val="21"/>
        </w:rPr>
        <w:t>Endereço:</w:t>
      </w:r>
      <w:r>
        <w:rPr>
          <w:rFonts w:ascii="Nimbus Sans" w:hAnsi="Nimbus Sans" w:eastAsia="Nimbus Sans" w:cs="Nimbus Sans"/>
          <w:b w:val="0"/>
          <w:i w:val="0"/>
          <w:color w:val="191D17"/>
          <w:sz w:val="21"/>
        </w:rPr>
        <w:t xml:space="preserve"> </w:t>
      </w:r>
      <w:r>
        <w:rPr>
          <w:rFonts w:ascii="Nimbus Sans" w:hAnsi="Nimbus Sans" w:eastAsia="Nimbus Sans" w:cs="Nimbus Sans"/>
          <w:b/>
          <w:i w:val="0"/>
          <w:color w:val="B42318"/>
          <w:sz w:val="21"/>
        </w:rPr>
        <w:t>[ENDEREÇO DA SEDE]</w:t>
      </w:r>
    </w:p>
    <w:p>
      <w:r>
        <w:rPr>
          <w:rFonts w:ascii="Nimbus Sans" w:hAnsi="Nimbus Sans" w:eastAsia="Nimbus Sans" w:cs="Nimbus Sans"/>
          <w:b/>
          <w:i w:val="0"/>
          <w:color w:val="191D17"/>
          <w:sz w:val="21"/>
        </w:rPr>
        <w:t>Privacidade:</w:t>
      </w:r>
      <w:r>
        <w:rPr>
          <w:rFonts w:ascii="Nimbus Sans" w:hAnsi="Nimbus Sans" w:eastAsia="Nimbus Sans" w:cs="Nimbus Sans"/>
          <w:b w:val="0"/>
          <w:i w:val="0"/>
          <w:color w:val="191D17"/>
          <w:sz w:val="21"/>
        </w:rPr>
        <w:t xml:space="preserve"> </w:t>
      </w:r>
      <w:r>
        <w:rPr>
          <w:rFonts w:ascii="Nimbus Sans" w:hAnsi="Nimbus Sans" w:eastAsia="Nimbus Sans" w:cs="Nimbus Sans"/>
          <w:b/>
          <w:i w:val="0"/>
          <w:color w:val="B42318"/>
          <w:sz w:val="21"/>
        </w:rPr>
        <w:t>[E-MAIL DE PRIVACIDADE]</w:t>
      </w:r>
    </w:p>
    <w:p>
      <w:r>
        <w:rPr>
          <w:rFonts w:ascii="Nimbus Sans" w:hAnsi="Nimbus Sans" w:eastAsia="Nimbus Sans" w:cs="Nimbus Sans"/>
          <w:b/>
          <w:i w:val="0"/>
          <w:color w:val="191D17"/>
          <w:sz w:val="21"/>
        </w:rPr>
        <w:t>Suporte:</w:t>
      </w:r>
      <w:r>
        <w:rPr>
          <w:rFonts w:ascii="Nimbus Sans" w:hAnsi="Nimbus Sans" w:eastAsia="Nimbus Sans" w:cs="Nimbus Sans"/>
          <w:b w:val="0"/>
          <w:i w:val="0"/>
          <w:color w:val="191D17"/>
          <w:sz w:val="21"/>
        </w:rPr>
        <w:t xml:space="preserve"> </w:t>
      </w:r>
      <w:r>
        <w:rPr>
          <w:rFonts w:ascii="Nimbus Sans" w:hAnsi="Nimbus Sans" w:eastAsia="Nimbus Sans" w:cs="Nimbus Sans"/>
          <w:b/>
          <w:i w:val="0"/>
          <w:color w:val="B42318"/>
          <w:sz w:val="21"/>
        </w:rPr>
        <w:t>[E-MAIL DE SUPORTE]</w:t>
      </w:r>
    </w:p>
    <w:p>
      <w:r>
        <w:rPr>
          <w:rFonts w:ascii="Nimbus Sans" w:hAnsi="Nimbus Sans" w:eastAsia="Nimbus Sans" w:cs="Nimbus Sans"/>
          <w:b/>
          <w:i w:val="0"/>
          <w:color w:val="191D17"/>
          <w:sz w:val="21"/>
        </w:rPr>
        <w:t>Encarregado ou canal:</w:t>
      </w:r>
      <w:r>
        <w:rPr>
          <w:rFonts w:ascii="Nimbus Sans" w:hAnsi="Nimbus Sans" w:eastAsia="Nimbus Sans" w:cs="Nimbus Sans"/>
          <w:b w:val="0"/>
          <w:i w:val="0"/>
          <w:color w:val="191D17"/>
          <w:sz w:val="21"/>
        </w:rPr>
        <w:t xml:space="preserve"> </w:t>
      </w:r>
      <w:r>
        <w:rPr>
          <w:rFonts w:ascii="Nimbus Sans" w:hAnsi="Nimbus Sans" w:eastAsia="Nimbus Sans" w:cs="Nimbus Sans"/>
          <w:b/>
          <w:i w:val="0"/>
          <w:color w:val="B42318"/>
          <w:sz w:val="21"/>
        </w:rPr>
        <w:t>[ENCARREGADO OU CANAL DO TITULAR]</w:t>
      </w:r>
    </w:p>
    <w:p>
      <w:r>
        <w:rPr>
          <w:rFonts w:ascii="Nimbus Sans" w:hAnsi="Nimbus Sans" w:eastAsia="Nimbus Sans" w:cs="Nimbus Sans"/>
          <w:b w:val="0"/>
          <w:i w:val="0"/>
          <w:color w:val="191D17"/>
          <w:sz w:val="21"/>
        </w:rPr>
        <w:t>Se a solicitação não for resolvida, a pessoa poderá recorrer à Autoridade Nacional de Proteção de Dados, ao órgão de defesa do consumidor ou ao Poder Judiciário, conforme aplicável.</w:t>
      </w:r>
    </w:p>
    <w:p>
      <w:pPr>
        <w:pStyle w:val="Heading1"/>
        <w:keepNext/>
      </w:pPr>
      <w:r>
        <w:rPr>
          <w:rFonts w:ascii="Nimbus Sans" w:hAnsi="Nimbus Sans" w:eastAsia="Nimbus Sans" w:cs="Nimbus Sans"/>
          <w:b w:val="0"/>
          <w:i w:val="0"/>
          <w:color w:val="20B2AA"/>
          <w:sz w:val="32"/>
        </w:rPr>
        <w:t>24. Condições obrigatórias antes da publicação</w:t>
      </w:r>
    </w:p>
    <w:p>
      <w:pPr>
        <w:pStyle w:val="ListBullet"/>
      </w:pPr>
      <w:r>
        <w:rPr>
          <w:rFonts w:ascii="Nimbus Sans" w:hAnsi="Nimbus Sans" w:eastAsia="Nimbus Sans" w:cs="Nimbus Sans"/>
          <w:b w:val="0"/>
          <w:i w:val="0"/>
          <w:color w:val="191D17"/>
          <w:sz w:val="21"/>
        </w:rPr>
        <w:t xml:space="preserve"> preencher identidade, CNPJ/CPF, endereço, canais e data de vigência;</w:t>
      </w:r>
    </w:p>
    <w:p>
      <w:pPr>
        <w:pStyle w:val="ListBullet"/>
      </w:pPr>
      <w:r>
        <w:rPr>
          <w:rFonts w:ascii="Nimbus Sans" w:hAnsi="Nimbus Sans" w:eastAsia="Nimbus Sans" w:cs="Nimbus Sans"/>
          <w:b w:val="0"/>
          <w:i w:val="0"/>
          <w:color w:val="191D17"/>
          <w:sz w:val="21"/>
        </w:rPr>
        <w:t xml:space="preserve"> inventariar dados, finalidades, bases legais, sistemas, integrações e fornecedores reais;</w:t>
      </w:r>
    </w:p>
    <w:p>
      <w:pPr>
        <w:pStyle w:val="ListBullet"/>
      </w:pPr>
      <w:r>
        <w:rPr>
          <w:rFonts w:ascii="Nimbus Sans" w:hAnsi="Nimbus Sans" w:eastAsia="Nimbus Sans" w:cs="Nimbus Sans"/>
          <w:b w:val="0"/>
          <w:i w:val="0"/>
          <w:color w:val="191D17"/>
          <w:sz w:val="21"/>
        </w:rPr>
        <w:t xml:space="preserve"> definir contratualmente quando JobForged é controladora ou operadora;</w:t>
      </w:r>
    </w:p>
    <w:p>
      <w:pPr>
        <w:pStyle w:val="ListBullet"/>
      </w:pPr>
      <w:r>
        <w:rPr>
          <w:rFonts w:ascii="Nimbus Sans" w:hAnsi="Nimbus Sans" w:eastAsia="Nimbus Sans" w:cs="Nimbus Sans"/>
          <w:b w:val="0"/>
          <w:i w:val="0"/>
          <w:color w:val="191D17"/>
          <w:sz w:val="21"/>
        </w:rPr>
        <w:t xml:space="preserve"> publicar lista de cookies e bloquear categorias não necessárias antes do consentimento;</w:t>
      </w:r>
    </w:p>
    <w:p>
      <w:pPr>
        <w:pStyle w:val="ListBullet"/>
      </w:pPr>
      <w:r>
        <w:rPr>
          <w:rFonts w:ascii="Nimbus Sans" w:hAnsi="Nimbus Sans" w:eastAsia="Nimbus Sans" w:cs="Nimbus Sans"/>
          <w:b w:val="0"/>
          <w:i w:val="0"/>
          <w:color w:val="191D17"/>
          <w:sz w:val="21"/>
        </w:rPr>
        <w:t xml:space="preserve"> implementar banner com aceitar, rejeitar e personalizar;</w:t>
      </w:r>
    </w:p>
    <w:p>
      <w:pPr>
        <w:pStyle w:val="ListBullet"/>
      </w:pPr>
      <w:r>
        <w:rPr>
          <w:rFonts w:ascii="Nimbus Sans" w:hAnsi="Nimbus Sans" w:eastAsia="Nimbus Sans" w:cs="Nimbus Sans"/>
          <w:b w:val="0"/>
          <w:i w:val="0"/>
          <w:color w:val="191D17"/>
          <w:sz w:val="21"/>
        </w:rPr>
        <w:t xml:space="preserve"> configurar canal de direitos, verificação de identidade e SLAs;</w:t>
      </w:r>
    </w:p>
    <w:p>
      <w:pPr>
        <w:pStyle w:val="ListBullet"/>
      </w:pPr>
      <w:r>
        <w:rPr>
          <w:rFonts w:ascii="Nimbus Sans" w:hAnsi="Nimbus Sans" w:eastAsia="Nimbus Sans" w:cs="Nimbus Sans"/>
          <w:b w:val="0"/>
          <w:i w:val="0"/>
          <w:color w:val="191D17"/>
          <w:sz w:val="21"/>
        </w:rPr>
        <w:t xml:space="preserve"> definir matriz de retenção, eliminação, exportação e backup;</w:t>
      </w:r>
    </w:p>
    <w:p>
      <w:pPr>
        <w:pStyle w:val="ListBullet"/>
      </w:pPr>
      <w:r>
        <w:rPr>
          <w:rFonts w:ascii="Nimbus Sans" w:hAnsi="Nimbus Sans" w:eastAsia="Nimbus Sans" w:cs="Nimbus Sans"/>
          <w:b w:val="0"/>
          <w:i w:val="0"/>
          <w:color w:val="191D17"/>
          <w:sz w:val="21"/>
        </w:rPr>
        <w:t xml:space="preserve"> formalizar contrato de tratamento de dados e suboperadores;</w:t>
      </w:r>
    </w:p>
    <w:p>
      <w:pPr>
        <w:pStyle w:val="ListBullet"/>
      </w:pPr>
      <w:r>
        <w:rPr>
          <w:rFonts w:ascii="Nimbus Sans" w:hAnsi="Nimbus Sans" w:eastAsia="Nimbus Sans" w:cs="Nimbus Sans"/>
          <w:b w:val="0"/>
          <w:i w:val="0"/>
          <w:color w:val="191D17"/>
          <w:sz w:val="21"/>
        </w:rPr>
        <w:t xml:space="preserve"> adotar plano de resposta a incidentes e fluxo de comunicação;</w:t>
      </w:r>
    </w:p>
    <w:p>
      <w:pPr>
        <w:pStyle w:val="ListBullet"/>
      </w:pPr>
      <w:r>
        <w:rPr>
          <w:rFonts w:ascii="Nimbus Sans" w:hAnsi="Nimbus Sans" w:eastAsia="Nimbus Sans" w:cs="Nimbus Sans"/>
          <w:b w:val="0"/>
          <w:i w:val="0"/>
          <w:color w:val="191D17"/>
          <w:sz w:val="21"/>
        </w:rPr>
        <w:t xml:space="preserve"> validar transferências internacionais e cláusulas aplicáveis;</w:t>
      </w:r>
    </w:p>
    <w:p>
      <w:pPr>
        <w:pStyle w:val="ListBullet"/>
      </w:pPr>
      <w:r>
        <w:rPr>
          <w:rFonts w:ascii="Nimbus Sans" w:hAnsi="Nimbus Sans" w:eastAsia="Nimbus Sans" w:cs="Nimbus Sans"/>
          <w:b w:val="0"/>
          <w:i w:val="0"/>
          <w:color w:val="191D17"/>
          <w:sz w:val="21"/>
        </w:rPr>
        <w:t xml:space="preserve"> documentar critérios, revisão humana e riscos de IA;</w:t>
      </w:r>
    </w:p>
    <w:p>
      <w:pPr>
        <w:pStyle w:val="ListBullet"/>
      </w:pPr>
      <w:r>
        <w:rPr>
          <w:rFonts w:ascii="Nimbus Sans" w:hAnsi="Nimbus Sans" w:eastAsia="Nimbus Sans" w:cs="Nimbus Sans"/>
          <w:b w:val="0"/>
          <w:i w:val="0"/>
          <w:color w:val="191D17"/>
          <w:sz w:val="21"/>
        </w:rPr>
        <w:t xml:space="preserve"> criar regra de moderação e denúncia para </w:t>
      </w:r>
      <w:r>
        <w:rPr>
          <w:rFonts w:ascii="DejaVu Sans Mono" w:hAnsi="DejaVu Sans Mono" w:eastAsia="DejaVu Sans Mono" w:cs="DejaVu Sans Mono"/>
          <w:b w:val="0"/>
          <w:i w:val="0"/>
          <w:color w:val="17243D"/>
          <w:sz w:val="18"/>
        </w:rPr>
        <w:t>vagas.jobforged.com</w:t>
      </w:r>
      <w:r>
        <w:rPr>
          <w:rFonts w:ascii="Nimbus Sans" w:hAnsi="Nimbus Sans" w:eastAsia="Nimbus Sans" w:cs="Nimbus Sans"/>
          <w:b w:val="0"/>
          <w:i w:val="0"/>
          <w:color w:val="191D17"/>
          <w:sz w:val="21"/>
        </w:rPr>
        <w:t>;</w:t>
      </w:r>
    </w:p>
    <w:p>
      <w:pPr>
        <w:pStyle w:val="ListBullet"/>
      </w:pPr>
      <w:r>
        <w:rPr>
          <w:rFonts w:ascii="Nimbus Sans" w:hAnsi="Nimbus Sans" w:eastAsia="Nimbus Sans" w:cs="Nimbus Sans"/>
          <w:b w:val="0"/>
          <w:i w:val="0"/>
          <w:color w:val="191D17"/>
          <w:sz w:val="21"/>
        </w:rPr>
        <w:t xml:space="preserve"> realizar relatório de impacto quando o risco ou a autoridade recomendarem;</w:t>
      </w:r>
    </w:p>
    <w:p>
      <w:pPr>
        <w:pStyle w:val="ListBullet"/>
      </w:pPr>
      <w:r>
        <w:rPr>
          <w:rFonts w:ascii="Nimbus Sans" w:hAnsi="Nimbus Sans" w:eastAsia="Nimbus Sans" w:cs="Nimbus Sans"/>
          <w:b w:val="0"/>
          <w:i w:val="0"/>
          <w:color w:val="191D17"/>
          <w:sz w:val="21"/>
        </w:rPr>
        <w:t xml:space="preserve"> obter revisão jurídica brasileira antes da publicação.</w:t>
      </w:r>
    </w:p>
    <w:p>
      <w:pPr>
        <w:pStyle w:val="Heading1"/>
        <w:keepNext/>
      </w:pPr>
      <w:r>
        <w:rPr>
          <w:rFonts w:ascii="Nimbus Sans" w:hAnsi="Nimbus Sans" w:eastAsia="Nimbus Sans" w:cs="Nimbus Sans"/>
          <w:b w:val="0"/>
          <w:i w:val="0"/>
          <w:color w:val="20B2AA"/>
          <w:sz w:val="32"/>
        </w:rPr>
        <w:t>25. Referências normativas de elaboração</w:t>
      </w:r>
    </w:p>
    <w:p>
      <w:pPr>
        <w:pStyle w:val="ListBullet"/>
      </w:pPr>
      <w:r>
        <w:rPr>
          <w:rFonts w:ascii="Nimbus Sans" w:hAnsi="Nimbus Sans" w:eastAsia="Nimbus Sans" w:cs="Nimbus Sans"/>
          <w:b w:val="0"/>
          <w:i w:val="0"/>
          <w:color w:val="191D17"/>
          <w:sz w:val="21"/>
        </w:rPr>
        <w:t xml:space="preserve"> Lei nº 13.709/2018 — Lei Geral de Proteção de Dados Pessoais: https://www.planalto.gov.br/ccivil_03/_ato2015-2018/2018/lei/l13709compilado.htm</w:t>
      </w:r>
    </w:p>
    <w:p>
      <w:pPr>
        <w:pStyle w:val="ListBullet"/>
      </w:pPr>
      <w:r>
        <w:rPr>
          <w:rFonts w:ascii="Nimbus Sans" w:hAnsi="Nimbus Sans" w:eastAsia="Nimbus Sans" w:cs="Nimbus Sans"/>
          <w:b w:val="0"/>
          <w:i w:val="0"/>
          <w:color w:val="191D17"/>
          <w:sz w:val="21"/>
        </w:rPr>
        <w:t xml:space="preserve"> Lei nº 12.965/2014 — Marco Civil da Internet: https://www.planalto.gov.br/ccivil_03/_ato2011-2014/2014/lei/l12965.htm</w:t>
      </w:r>
    </w:p>
    <w:p>
      <w:pPr>
        <w:pStyle w:val="ListBullet"/>
      </w:pPr>
      <w:r>
        <w:rPr>
          <w:rFonts w:ascii="Nimbus Sans" w:hAnsi="Nimbus Sans" w:eastAsia="Nimbus Sans" w:cs="Nimbus Sans"/>
          <w:b w:val="0"/>
          <w:i w:val="0"/>
          <w:color w:val="191D17"/>
          <w:sz w:val="21"/>
        </w:rPr>
        <w:t xml:space="preserve"> Lei nº 8.078/1990 — Código de Defesa do Consumidor: https://www.planalto.gov.br/ccivil_03/leis/l8078compilado.htm</w:t>
      </w:r>
    </w:p>
    <w:p>
      <w:pPr>
        <w:pStyle w:val="ListBullet"/>
      </w:pPr>
      <w:r>
        <w:rPr>
          <w:rFonts w:ascii="Nimbus Sans" w:hAnsi="Nimbus Sans" w:eastAsia="Nimbus Sans" w:cs="Nimbus Sans"/>
          <w:b w:val="0"/>
          <w:i w:val="0"/>
          <w:color w:val="191D17"/>
          <w:sz w:val="21"/>
        </w:rPr>
        <w:t xml:space="preserve"> Guia Orientativo — Cookies e Proteção de Dados Pessoais, ANPD: https://www.gov.br/anpd/pt-br/centrais-de-conteudo/materiais-educativos-e-publicacoes/guia-orientativo-cookies-e-protecao-de-dados-pessoais.pdf/@@display-file/file</w:t>
      </w:r>
    </w:p>
    <w:p>
      <w:pPr>
        <w:pStyle w:val="ListBullet"/>
      </w:pPr>
      <w:r>
        <w:rPr>
          <w:rFonts w:ascii="Nimbus Sans" w:hAnsi="Nimbus Sans" w:eastAsia="Nimbus Sans" w:cs="Nimbus Sans"/>
          <w:b w:val="0"/>
          <w:i w:val="0"/>
          <w:color w:val="191D17"/>
          <w:sz w:val="21"/>
        </w:rPr>
        <w:t xml:space="preserve"> Regulamentações da ANPD: https://www.gov.br/anpd/pt-br/acesso-a-informacao/institucional/atos-normativos/regulamentacoes_anpd</w:t>
      </w:r>
    </w:p>
    <w:p>
      <w:pPr>
        <w:pStyle w:val="LeadCallout"/>
      </w:pPr>
      <w:r>
        <w:rPr>
          <w:rFonts w:ascii="Nimbus Sans" w:hAnsi="Nimbus Sans" w:eastAsia="Nimbus Sans" w:cs="Nimbus Sans"/>
          <w:b/>
          <w:i w:val="0"/>
          <w:color w:val="191D17"/>
          <w:sz w:val="21"/>
        </w:rPr>
        <w:t>Controle da versão</w:t>
      </w:r>
    </w:p>
    <w:p>
      <w:r>
        <w:rPr>
          <w:rFonts w:ascii="Nimbus Sans" w:hAnsi="Nimbus Sans" w:eastAsia="Nimbus Sans" w:cs="Nimbus Sans"/>
          <w:b w:val="0"/>
          <w:i w:val="0"/>
          <w:color w:val="191D17"/>
          <w:sz w:val="21"/>
        </w:rPr>
        <w:t>Versão 1.0 — modelo operacional inicial consolidado em 21/08/2026.</w:t>
      </w:r>
    </w:p>
    <w:p>
      <w:r>
        <w:rPr>
          <w:rFonts w:ascii="Nimbus Sans" w:hAnsi="Nimbus Sans" w:eastAsia="Nimbus Sans" w:cs="Nimbus Sans"/>
          <w:b w:val="0"/>
          <w:i w:val="0"/>
          <w:color w:val="191D17"/>
          <w:sz w:val="21"/>
        </w:rPr>
        <w:t>Próxima revisão obrigatória: antes da publicação e sempre que houver mudança material de dados, fornecedores, cookies, anúncios, IA, portal de vagas, identidade jurídica ou legislação aplicável.</w:t>
      </w:r>
    </w:p>
    <w:sectPr w:rsidR="00FC693F" w:rsidRPr="0006063C" w:rsidSect="00034616">
      <w:headerReference w:type="default" r:id="rId9"/>
      <w:footerReference w:type="default" r:id="rId10"/>
      <w:pgSz w:w="12240" w:h="15840"/>
      <w:pgMar w:top="1181" w:right="1296" w:bottom="1123" w:left="1296" w:header="605" w:footer="60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right"/>
    </w:pPr>
    <w:r>
      <w:rPr>
        <w:rFonts w:ascii="Nimbus Sans" w:hAnsi="Nimbus Sans" w:eastAsia="Nimbus Sans" w:cs="Nimbus Sans"/>
        <w:color w:val="667085"/>
        <w:sz w:val="16"/>
      </w:rPr>
      <w:t xml:space="preserve">JobForged by Inside Forged   •   </w:t>
    </w:r>
    <w:r>
      <w:fldChar w:fldCharType="begin"/>
      <w:instrText xml:space="preserve">PAGE</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Nimbus Sans" w:hAnsi="Nimbus Sans" w:eastAsia="Nimbus Sans" w:cs="Nimbus Sans"/>
        <w:b/>
        <w:color w:val="20B2AA"/>
        <w:sz w:val="16"/>
      </w:rPr>
      <w:t>JOBFORGED  /  POLÍTICA DE PRIVACIDADE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decimal"/>
      <w:lvlText w:val="%1."/>
      <w:suff w:val="tab"/>
      <w:pPr>
        <w:tabs>
          <w:tab w:val="num" w:pos="540"/>
        </w:tabs>
        <w:ind w:left="540" w:hanging="270"/>
      </w:p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83" w:lineRule="auto"/>
    </w:pPr>
    <w:rPr>
      <w:rFonts w:ascii="Nimbus Sans" w:hAnsi="Nimbus Sans"/>
      <w:color w:val="191D1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00" w:after="140" w:line="252" w:lineRule="auto"/>
      <w:outlineLvl w:val="0"/>
    </w:pPr>
    <w:rPr>
      <w:rFonts w:asciiTheme="majorHAnsi" w:eastAsiaTheme="majorEastAsia" w:hAnsiTheme="majorHAnsi" w:cstheme="majorBidi" w:ascii="Nimbus Sans" w:hAnsi="Nimbus Sans"/>
      <w:b/>
      <w:bCs/>
      <w:color w:val="20B2AA"/>
      <w:sz w:val="32"/>
      <w:szCs w:val="28"/>
    </w:rPr>
  </w:style>
  <w:style w:type="paragraph" w:styleId="Heading2">
    <w:name w:val="heading 2"/>
    <w:basedOn w:val="Normal"/>
    <w:next w:val="Normal"/>
    <w:link w:val="Heading2Char"/>
    <w:uiPriority w:val="9"/>
    <w:unhideWhenUsed/>
    <w:qFormat/>
    <w:rsid w:val="00FC693F"/>
    <w:pPr>
      <w:keepNext/>
      <w:keepLines/>
      <w:spacing w:before="240" w:after="100" w:line="252" w:lineRule="auto"/>
      <w:outlineLvl w:val="1"/>
    </w:pPr>
    <w:rPr>
      <w:rFonts w:asciiTheme="majorHAnsi" w:eastAsiaTheme="majorEastAsia" w:hAnsiTheme="majorHAnsi" w:cstheme="majorBidi" w:ascii="Nimbus Sans" w:hAnsi="Nimbus Sans"/>
      <w:b/>
      <w:bCs/>
      <w:color w:val="17243D"/>
      <w:sz w:val="26"/>
      <w:szCs w:val="26"/>
    </w:rPr>
  </w:style>
  <w:style w:type="paragraph" w:styleId="Heading3">
    <w:name w:val="heading 3"/>
    <w:basedOn w:val="Normal"/>
    <w:next w:val="Normal"/>
    <w:link w:val="Heading3Char"/>
    <w:uiPriority w:val="9"/>
    <w:unhideWhenUsed/>
    <w:qFormat/>
    <w:rsid w:val="00FC693F"/>
    <w:pPr>
      <w:keepNext/>
      <w:keepLines/>
      <w:spacing w:before="200" w:after="100" w:line="252" w:lineRule="auto"/>
      <w:outlineLvl w:val="2"/>
    </w:pPr>
    <w:rPr>
      <w:rFonts w:asciiTheme="majorHAnsi" w:eastAsiaTheme="majorEastAsia" w:hAnsiTheme="majorHAnsi" w:cstheme="majorBidi" w:ascii="Nimbus Sans" w:hAnsi="Nimbus Sans"/>
      <w:b/>
      <w:bCs/>
      <w:color w:val="4169E1"/>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52" w:lineRule="auto" w:before="0"/>
      <w:contextualSpacing/>
    </w:pPr>
    <w:rPr>
      <w:rFonts w:asciiTheme="majorHAnsi" w:eastAsiaTheme="majorEastAsia" w:hAnsiTheme="majorHAnsi" w:cstheme="majorBidi" w:ascii="Nimbus Sans" w:hAnsi="Nimbus Sans"/>
      <w:b/>
      <w:color w:val="17243D"/>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00" w:line="252" w:lineRule="auto"/>
    </w:pPr>
    <w:rPr>
      <w:rFonts w:asciiTheme="majorHAnsi" w:eastAsiaTheme="majorEastAsia" w:hAnsiTheme="majorHAnsi" w:cstheme="majorBidi" w:ascii="Nimbus Sans" w:hAnsi="Nimbus Sans"/>
      <w:b w:val="0"/>
      <w:i/>
      <w:iCs/>
      <w:color w:val="667085"/>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83" w:lineRule="auto"/>
      <w:ind w:left="540" w:hanging="271"/>
      <w:contextualSpacing/>
    </w:pPr>
    <w:rPr>
      <w:rFonts w:ascii="Nimbus Sans" w:hAnsi="Nimbus Sans"/>
      <w:color w:val="191D17"/>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line="283" w:lineRule="auto"/>
      <w:ind w:left="540" w:hanging="271"/>
      <w:contextualSpacing/>
    </w:pPr>
    <w:rPr>
      <w:rFonts w:ascii="Nimbus Sans" w:hAnsi="Nimbus Sans"/>
      <w:color w:val="191D17"/>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adCallout">
    <w:name w:val="Lead Callout"/>
    <w:pPr>
      <w:spacing w:before="120" w:after="200" w:line="288" w:lineRule="auto"/>
      <w:ind w:left="259" w:right="173"/>
    </w:pPr>
    <w:rPr>
      <w:rFonts w:ascii="Nimbus Sans" w:hAnsi="Nimbus Sans"/>
      <w:b/>
      <w:color w:val="17243D"/>
      <w:sz w:val="22"/>
    </w:rPr>
  </w:style>
  <w:style w:type="paragraph" w:customStyle="1" w:styleId="LegalWarning">
    <w:name w:val="Legal Warning"/>
    <w:pPr>
      <w:spacing w:before="120" w:after="200" w:line="283" w:lineRule="auto"/>
      <w:ind w:left="259" w:right="259"/>
    </w:pPr>
    <w:rPr>
      <w:rFonts w:ascii="Nimbus Sans" w:hAnsi="Nimbus Sans"/>
      <w:b/>
      <w:color w:val="B42318"/>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JobForged — Política De Privacidade</dc:title>
  <dc:subject>Política de Privacidade operacional da JobForged</dc:subject>
  <dc:creator>JobForged by Inside Forged</dc:creator>
  <cp:keywords>JobForged, termos, privacidade, LGPD, cookies, publicidade, vagas, recrutamento</cp:keywords>
  <dc:description>Modelo operacional consolidado em 21 de agosto de 2026; revisão e preenchimento obrigatórios antes da publicação.</dc:description>
  <cp:lastModifiedBy/>
  <cp:revision>1</cp:revision>
  <dcterms:created xsi:type="dcterms:W3CDTF">2013-12-23T23:15:00Z</dcterms:created>
  <dcterms:modified xsi:type="dcterms:W3CDTF">2013-12-23T23:15:00Z</dcterms:modified>
  <cp:category/>
</cp:coreProperties>
</file>