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520" w:after="160"/>
      </w:pPr>
      <w:r>
        <w:rPr>
          <w:rFonts w:ascii="Nimbus Sans" w:hAnsi="Nimbus Sans" w:eastAsia="Nimbus Sans" w:cs="Nimbus Sans"/>
          <w:b/>
          <w:color w:val="20B2AA"/>
          <w:sz w:val="26"/>
        </w:rPr>
        <w:t>JOBFORGED</w:t>
      </w:r>
    </w:p>
    <w:p>
      <w:pPr>
        <w:spacing w:after="200"/>
      </w:pPr>
      <w:r>
        <w:rPr>
          <w:rFonts w:ascii="Nimbus Sans" w:hAnsi="Nimbus Sans" w:eastAsia="Nimbus Sans" w:cs="Nimbus Sans"/>
          <w:b/>
          <w:color w:val="17243D"/>
          <w:sz w:val="64"/>
        </w:rPr>
        <w:t>Termos de</w:t>
        <w:br/>
        <w:t>Uso</w:t>
      </w:r>
    </w:p>
    <w:p>
      <w:pPr>
        <w:spacing w:after="560"/>
      </w:pPr>
      <w:r>
        <w:rPr>
          <w:rFonts w:ascii="Nimbus Sans" w:hAnsi="Nimbus Sans" w:eastAsia="Nimbus Sans" w:cs="Nimbus Sans"/>
          <w:color w:val="667085"/>
          <w:sz w:val="26"/>
        </w:rPr>
        <w:t>Regras de acesso, uso, responsabilidades e segurança jurídica</w:t>
      </w:r>
    </w:p>
    <w:tbl>
      <w:tblPr>
        <w:tblStyle w:val="TableGrid"/>
        <w:tblW w:type="dxa" w:w="9360"/>
        <w:jc w:val="left"/>
        <w:tblLayout w:type="fixed"/>
        <w:tblLook w:firstColumn="1" w:firstRow="1" w:lastColumn="0" w:lastRow="0" w:noHBand="0" w:noVBand="1" w:val="04A0"/>
        <w:tblInd w:w="120" w:type="dxa"/>
      </w:tblPr>
      <w:tblGrid>
        <w:gridCol w:w="1800"/>
        <w:gridCol w:w="7560"/>
      </w:tblGrid>
      <w:tr>
        <w:trPr>
          <w:tblHeader w:val="true"/>
        </w:trPr>
        <w:tc>
          <w:tcPr>
            <w:tcW w:type="dxa" w:w="1800"/>
            <w:tcMar>
              <w:top w:w="100" w:type="dxa"/>
              <w:start w:w="120" w:type="dxa"/>
              <w:bottom w:w="100" w:type="dxa"/>
              <w:end w:w="120" w:type="dxa"/>
            </w:tcMar>
            <w:vAlign w:val="center"/>
            <w:shd w:fill="E8F7F5"/>
          </w:tcPr>
          <w:p>
            <w:pPr>
              <w:spacing w:after="0"/>
            </w:pPr>
            <w:r>
              <w:rPr>
                <w:rFonts w:ascii="Nimbus Sans" w:hAnsi="Nimbus Sans" w:eastAsia="Nimbus Sans" w:cs="Nimbus Sans"/>
                <w:b/>
                <w:color w:val="20B2AA"/>
                <w:sz w:val="17"/>
              </w:rPr>
              <w:t>VERSÃO</w:t>
            </w:r>
          </w:p>
        </w:tc>
        <w:tc>
          <w:tcPr>
            <w:tcW w:type="dxa" w:w="7560"/>
            <w:tcMar>
              <w:top w:w="100" w:type="dxa"/>
              <w:start w:w="120" w:type="dxa"/>
              <w:bottom w:w="100" w:type="dxa"/>
              <w:end w:w="120" w:type="dxa"/>
            </w:tcMar>
            <w:vAlign w:val="center"/>
          </w:tcPr>
          <w:p>
            <w:pPr>
              <w:spacing w:after="0"/>
            </w:pPr>
            <w:r>
              <w:rPr>
                <w:rFonts w:ascii="Nimbus Sans" w:hAnsi="Nimbus Sans" w:eastAsia="Nimbus Sans" w:cs="Nimbus Sans"/>
                <w:b/>
                <w:color w:val="17243D"/>
                <w:sz w:val="18"/>
              </w:rPr>
              <w:t>1.0</w:t>
            </w:r>
          </w:p>
        </w:tc>
      </w:tr>
      <w:tr>
        <w:tc>
          <w:tcPr>
            <w:tcW w:type="dxa" w:w="1800"/>
            <w:tcMar>
              <w:top w:w="100" w:type="dxa"/>
              <w:start w:w="120" w:type="dxa"/>
              <w:bottom w:w="100" w:type="dxa"/>
              <w:end w:w="120" w:type="dxa"/>
            </w:tcMar>
            <w:vAlign w:val="center"/>
            <w:shd w:fill="E8F7F5"/>
          </w:tcPr>
          <w:p>
            <w:pPr>
              <w:spacing w:after="0"/>
            </w:pPr>
            <w:r>
              <w:rPr>
                <w:rFonts w:ascii="Nimbus Sans" w:hAnsi="Nimbus Sans" w:eastAsia="Nimbus Sans" w:cs="Nimbus Sans"/>
                <w:b/>
                <w:color w:val="20B2AA"/>
                <w:sz w:val="17"/>
              </w:rPr>
              <w:t>CONSOLIDAÇÃO</w:t>
            </w:r>
          </w:p>
        </w:tc>
        <w:tc>
          <w:tcPr>
            <w:tcW w:type="dxa" w:w="7560"/>
            <w:tcMar>
              <w:top w:w="100" w:type="dxa"/>
              <w:start w:w="120" w:type="dxa"/>
              <w:bottom w:w="100" w:type="dxa"/>
              <w:end w:w="120" w:type="dxa"/>
            </w:tcMar>
            <w:vAlign w:val="center"/>
          </w:tcPr>
          <w:p>
            <w:pPr>
              <w:spacing w:after="0"/>
            </w:pPr>
            <w:r>
              <w:rPr>
                <w:rFonts w:ascii="Nimbus Sans" w:hAnsi="Nimbus Sans" w:eastAsia="Nimbus Sans" w:cs="Nimbus Sans"/>
                <w:b/>
                <w:color w:val="17243D"/>
                <w:sz w:val="18"/>
              </w:rPr>
              <w:t>21 de agosto de 2026</w:t>
            </w:r>
          </w:p>
        </w:tc>
      </w:tr>
      <w:tr>
        <w:tc>
          <w:tcPr>
            <w:tcW w:type="dxa" w:w="1800"/>
            <w:tcMar>
              <w:top w:w="100" w:type="dxa"/>
              <w:start w:w="120" w:type="dxa"/>
              <w:bottom w:w="100" w:type="dxa"/>
              <w:end w:w="120" w:type="dxa"/>
            </w:tcMar>
            <w:vAlign w:val="center"/>
            <w:shd w:fill="E8F7F5"/>
          </w:tcPr>
          <w:p>
            <w:pPr>
              <w:spacing w:after="0"/>
            </w:pPr>
            <w:r>
              <w:rPr>
                <w:rFonts w:ascii="Nimbus Sans" w:hAnsi="Nimbus Sans" w:eastAsia="Nimbus Sans" w:cs="Nimbus Sans"/>
                <w:b/>
                <w:color w:val="20B2AA"/>
                <w:sz w:val="17"/>
              </w:rPr>
              <w:t>STATUS</w:t>
            </w:r>
          </w:p>
        </w:tc>
        <w:tc>
          <w:tcPr>
            <w:tcW w:type="dxa" w:w="7560"/>
            <w:tcMar>
              <w:top w:w="100" w:type="dxa"/>
              <w:start w:w="120" w:type="dxa"/>
              <w:bottom w:w="100" w:type="dxa"/>
              <w:end w:w="120" w:type="dxa"/>
            </w:tcMar>
            <w:vAlign w:val="center"/>
          </w:tcPr>
          <w:p>
            <w:pPr>
              <w:spacing w:after="0"/>
            </w:pPr>
            <w:r>
              <w:rPr>
                <w:rFonts w:ascii="Nimbus Sans" w:hAnsi="Nimbus Sans" w:eastAsia="Nimbus Sans" w:cs="Nimbus Sans"/>
                <w:b/>
                <w:color w:val="B42318"/>
                <w:sz w:val="18"/>
              </w:rPr>
              <w:t>Modelo operacional — revisão obrigatória antes da publicação</w:t>
            </w:r>
          </w:p>
        </w:tc>
      </w:tr>
    </w:tbl>
    <w:p>
      <w:pPr>
        <w:spacing w:before="560" w:after="200" w:line="283" w:lineRule="auto"/>
        <w:ind w:left="259" w:right="259"/>
      </w:pPr>
      <w:r>
        <w:rPr>
          <w:rFonts w:ascii="Nimbus Sans" w:hAnsi="Nimbus Sans" w:eastAsia="Nimbus Sans" w:cs="Nimbus Sans"/>
          <w:b/>
          <w:color w:val="B42318"/>
          <w:sz w:val="21"/>
        </w:rPr>
        <w:t>ATENÇÃO — NÃO PUBLICAR SEM PREENCHER OS CAMPOS EM VERMELHO E VALIDAR O TEXTO COM A OPERAÇÃO REAL.</w:t>
      </w:r>
    </w:p>
    <w:p>
      <w:pPr>
        <w:spacing w:before="680"/>
      </w:pPr>
      <w:r>
        <w:rPr>
          <w:rFonts w:ascii="Nimbus Sans" w:hAnsi="Nimbus Sans" w:eastAsia="Nimbus Sans" w:cs="Nimbus Sans"/>
          <w:b/>
          <w:color w:val="4169E1"/>
          <w:sz w:val="21"/>
        </w:rPr>
        <w:t>CONTRATAÇÕES MAIS INTELIGENTES, ACESSÍVEIS E ESTRUTURADAS.</w:t>
      </w:r>
    </w:p>
    <w:p>
      <w:r>
        <w:br w:type="page"/>
      </w:r>
    </w:p>
    <w:p>
      <w:pPr>
        <w:pStyle w:val="Heading1"/>
        <w:keepNext/>
        <w:spacing w:before="0"/>
      </w:pPr>
      <w:r>
        <w:t>Mapa do documento</w:t>
      </w:r>
    </w:p>
    <w:p>
      <w:r>
        <w:rPr>
          <w:rFonts w:ascii="Nimbus Sans" w:hAnsi="Nimbus Sans" w:eastAsia="Nimbus Sans" w:cs="Nimbus Sans"/>
          <w:b w:val="0"/>
          <w:i w:val="0"/>
          <w:color w:val="191D17"/>
          <w:sz w:val="21"/>
        </w:rPr>
        <w:t>Use este mapa para localizar regras e pontos de implementação. Campos entre colchetes permanecem pendentes e aparecem em vermelho no documento.</w:t>
      </w:r>
    </w:p>
    <w:p>
      <w:pPr>
        <w:numPr>
          <w:ilvl w:val="0"/>
          <w:numId w:val="10"/>
        </w:numPr>
        <w:spacing w:after="80" w:line="300" w:lineRule="auto"/>
      </w:pPr>
      <w:r>
        <w:rPr>
          <w:rFonts w:ascii="Nimbus Sans" w:hAnsi="Nimbus Sans" w:eastAsia="Nimbus Sans" w:cs="Nimbus Sans"/>
          <w:b w:val="0"/>
          <w:i w:val="0"/>
          <w:color w:val="17243D"/>
          <w:sz w:val="19"/>
        </w:rPr>
        <w:t>Aceitação e documentos aplicáveis</w:t>
      </w:r>
    </w:p>
    <w:p>
      <w:pPr>
        <w:numPr>
          <w:ilvl w:val="0"/>
          <w:numId w:val="10"/>
        </w:numPr>
        <w:spacing w:after="80" w:line="300" w:lineRule="auto"/>
      </w:pPr>
      <w:r>
        <w:rPr>
          <w:rFonts w:ascii="Nimbus Sans" w:hAnsi="Nimbus Sans" w:eastAsia="Nimbus Sans" w:cs="Nimbus Sans"/>
          <w:b w:val="0"/>
          <w:i w:val="0"/>
          <w:color w:val="17243D"/>
          <w:sz w:val="19"/>
        </w:rPr>
        <w:t>Identidade, elegibilidade e representação</w:t>
      </w:r>
    </w:p>
    <w:p>
      <w:pPr>
        <w:numPr>
          <w:ilvl w:val="0"/>
          <w:numId w:val="10"/>
        </w:numPr>
        <w:spacing w:after="80" w:line="300" w:lineRule="auto"/>
      </w:pPr>
      <w:r>
        <w:rPr>
          <w:rFonts w:ascii="Nimbus Sans" w:hAnsi="Nimbus Sans" w:eastAsia="Nimbus Sans" w:cs="Nimbus Sans"/>
          <w:b w:val="0"/>
          <w:i w:val="0"/>
          <w:color w:val="17243D"/>
          <w:sz w:val="19"/>
        </w:rPr>
        <w:t>Natureza e estágio dos serviços</w:t>
      </w:r>
    </w:p>
    <w:p>
      <w:pPr>
        <w:numPr>
          <w:ilvl w:val="0"/>
          <w:numId w:val="10"/>
        </w:numPr>
        <w:spacing w:after="80" w:line="300" w:lineRule="auto"/>
      </w:pPr>
      <w:r>
        <w:rPr>
          <w:rFonts w:ascii="Nimbus Sans" w:hAnsi="Nimbus Sans" w:eastAsia="Nimbus Sans" w:cs="Nimbus Sans"/>
          <w:b w:val="0"/>
          <w:i w:val="0"/>
          <w:color w:val="17243D"/>
          <w:sz w:val="19"/>
        </w:rPr>
        <w:t>Papel da JobForged</w:t>
      </w:r>
    </w:p>
    <w:p>
      <w:pPr>
        <w:numPr>
          <w:ilvl w:val="0"/>
          <w:numId w:val="10"/>
        </w:numPr>
        <w:spacing w:after="80" w:line="300" w:lineRule="auto"/>
      </w:pPr>
      <w:r>
        <w:rPr>
          <w:rFonts w:ascii="Nimbus Sans" w:hAnsi="Nimbus Sans" w:eastAsia="Nimbus Sans" w:cs="Nimbus Sans"/>
          <w:b w:val="0"/>
          <w:i w:val="0"/>
          <w:color w:val="17243D"/>
          <w:sz w:val="19"/>
        </w:rPr>
        <w:t>Perfis de usuário</w:t>
      </w:r>
    </w:p>
    <w:p>
      <w:pPr>
        <w:numPr>
          <w:ilvl w:val="0"/>
          <w:numId w:val="10"/>
        </w:numPr>
        <w:spacing w:after="80" w:line="300" w:lineRule="auto"/>
      </w:pPr>
      <w:r>
        <w:rPr>
          <w:rFonts w:ascii="Nimbus Sans" w:hAnsi="Nimbus Sans" w:eastAsia="Nimbus Sans" w:cs="Nimbus Sans"/>
          <w:b w:val="0"/>
          <w:i w:val="0"/>
          <w:color w:val="17243D"/>
          <w:sz w:val="19"/>
        </w:rPr>
        <w:t>Contas, credenciais e acesso</w:t>
      </w:r>
    </w:p>
    <w:p>
      <w:pPr>
        <w:numPr>
          <w:ilvl w:val="0"/>
          <w:numId w:val="10"/>
        </w:numPr>
        <w:spacing w:after="80" w:line="300" w:lineRule="auto"/>
      </w:pPr>
      <w:r>
        <w:rPr>
          <w:rFonts w:ascii="Nimbus Sans" w:hAnsi="Nimbus Sans" w:eastAsia="Nimbus Sans" w:cs="Nimbus Sans"/>
          <w:b w:val="0"/>
          <w:i w:val="0"/>
          <w:color w:val="17243D"/>
          <w:sz w:val="19"/>
        </w:rPr>
        <w:t>Responsabilidades das empresas e recrutadores</w:t>
      </w:r>
    </w:p>
    <w:p>
      <w:pPr>
        <w:numPr>
          <w:ilvl w:val="0"/>
          <w:numId w:val="10"/>
        </w:numPr>
        <w:spacing w:after="80" w:line="300" w:lineRule="auto"/>
      </w:pPr>
      <w:r>
        <w:rPr>
          <w:rFonts w:ascii="Nimbus Sans" w:hAnsi="Nimbus Sans" w:eastAsia="Nimbus Sans" w:cs="Nimbus Sans"/>
          <w:b w:val="0"/>
          <w:i w:val="0"/>
          <w:color w:val="17243D"/>
          <w:sz w:val="19"/>
        </w:rPr>
        <w:t>Responsabilidades das pessoas candidatas</w:t>
      </w:r>
    </w:p>
    <w:p>
      <w:pPr>
        <w:numPr>
          <w:ilvl w:val="0"/>
          <w:numId w:val="10"/>
        </w:numPr>
        <w:spacing w:after="80" w:line="300" w:lineRule="auto"/>
      </w:pPr>
      <w:r>
        <w:rPr>
          <w:rFonts w:ascii="Nimbus Sans" w:hAnsi="Nimbus Sans" w:eastAsia="Nimbus Sans" w:cs="Nimbus Sans"/>
          <w:b w:val="0"/>
          <w:i w:val="0"/>
          <w:color w:val="17243D"/>
          <w:sz w:val="19"/>
        </w:rPr>
        <w:t xml:space="preserve">Portal agregado </w:t>
      </w:r>
      <w:r>
        <w:rPr>
          <w:rFonts w:ascii="DejaVu Sans Mono" w:hAnsi="DejaVu Sans Mono" w:eastAsia="DejaVu Sans Mono" w:cs="DejaVu Sans Mono"/>
          <w:b w:val="0"/>
          <w:i w:val="0"/>
          <w:color w:val="17243D"/>
          <w:sz w:val="18"/>
        </w:rPr>
        <w:t>vagas.jobforged.com</w:t>
      </w:r>
    </w:p>
    <w:p>
      <w:pPr>
        <w:numPr>
          <w:ilvl w:val="0"/>
          <w:numId w:val="10"/>
        </w:numPr>
        <w:spacing w:after="80" w:line="300" w:lineRule="auto"/>
      </w:pPr>
      <w:r>
        <w:rPr>
          <w:rFonts w:ascii="Nimbus Sans" w:hAnsi="Nimbus Sans" w:eastAsia="Nimbus Sans" w:cs="Nimbus Sans"/>
          <w:b w:val="0"/>
          <w:i w:val="0"/>
          <w:color w:val="17243D"/>
          <w:sz w:val="19"/>
        </w:rPr>
        <w:t>Conteúdo e moderação</w:t>
      </w:r>
    </w:p>
    <w:p>
      <w:pPr>
        <w:numPr>
          <w:ilvl w:val="0"/>
          <w:numId w:val="10"/>
        </w:numPr>
        <w:spacing w:after="80" w:line="300" w:lineRule="auto"/>
      </w:pPr>
      <w:r>
        <w:rPr>
          <w:rFonts w:ascii="Nimbus Sans" w:hAnsi="Nimbus Sans" w:eastAsia="Nimbus Sans" w:cs="Nimbus Sans"/>
          <w:b w:val="0"/>
          <w:i w:val="0"/>
          <w:color w:val="17243D"/>
          <w:sz w:val="19"/>
        </w:rPr>
        <w:t>Uso permitido e condutas proibidas</w:t>
      </w:r>
    </w:p>
    <w:p>
      <w:pPr>
        <w:numPr>
          <w:ilvl w:val="0"/>
          <w:numId w:val="10"/>
        </w:numPr>
        <w:spacing w:after="80" w:line="300" w:lineRule="auto"/>
      </w:pPr>
      <w:r>
        <w:rPr>
          <w:rFonts w:ascii="Nimbus Sans" w:hAnsi="Nimbus Sans" w:eastAsia="Nimbus Sans" w:cs="Nimbus Sans"/>
          <w:b w:val="0"/>
          <w:i w:val="0"/>
          <w:color w:val="17243D"/>
          <w:sz w:val="19"/>
        </w:rPr>
        <w:t>Inteligência artificial e automação</w:t>
      </w:r>
    </w:p>
    <w:p>
      <w:pPr>
        <w:numPr>
          <w:ilvl w:val="0"/>
          <w:numId w:val="10"/>
        </w:numPr>
        <w:spacing w:after="80" w:line="300" w:lineRule="auto"/>
      </w:pPr>
      <w:r>
        <w:rPr>
          <w:rFonts w:ascii="Nimbus Sans" w:hAnsi="Nimbus Sans" w:eastAsia="Nimbus Sans" w:cs="Nimbus Sans"/>
          <w:b w:val="0"/>
          <w:i w:val="0"/>
          <w:color w:val="17243D"/>
          <w:sz w:val="19"/>
        </w:rPr>
        <w:t>Comunicações, WhatsApp e integrações</w:t>
      </w:r>
    </w:p>
    <w:p>
      <w:pPr>
        <w:numPr>
          <w:ilvl w:val="0"/>
          <w:numId w:val="10"/>
        </w:numPr>
        <w:spacing w:after="80" w:line="300" w:lineRule="auto"/>
      </w:pPr>
      <w:r>
        <w:rPr>
          <w:rFonts w:ascii="Nimbus Sans" w:hAnsi="Nimbus Sans" w:eastAsia="Nimbus Sans" w:cs="Nimbus Sans"/>
          <w:b w:val="0"/>
          <w:i w:val="0"/>
          <w:color w:val="17243D"/>
          <w:sz w:val="19"/>
        </w:rPr>
        <w:t>Publicidade, patrocínio e cookies</w:t>
      </w:r>
    </w:p>
    <w:p>
      <w:pPr>
        <w:numPr>
          <w:ilvl w:val="0"/>
          <w:numId w:val="10"/>
        </w:numPr>
        <w:spacing w:after="80" w:line="300" w:lineRule="auto"/>
      </w:pPr>
      <w:r>
        <w:rPr>
          <w:rFonts w:ascii="Nimbus Sans" w:hAnsi="Nimbus Sans" w:eastAsia="Nimbus Sans" w:cs="Nimbus Sans"/>
          <w:b w:val="0"/>
          <w:i w:val="0"/>
          <w:color w:val="17243D"/>
          <w:sz w:val="19"/>
        </w:rPr>
        <w:t>Propriedade intelectual e marcas</w:t>
      </w:r>
    </w:p>
    <w:p>
      <w:pPr>
        <w:numPr>
          <w:ilvl w:val="0"/>
          <w:numId w:val="10"/>
        </w:numPr>
        <w:spacing w:after="80" w:line="300" w:lineRule="auto"/>
      </w:pPr>
      <w:r>
        <w:rPr>
          <w:rFonts w:ascii="Nimbus Sans" w:hAnsi="Nimbus Sans" w:eastAsia="Nimbus Sans" w:cs="Nimbus Sans"/>
          <w:b w:val="0"/>
          <w:i w:val="0"/>
          <w:color w:val="17243D"/>
          <w:sz w:val="19"/>
        </w:rPr>
        <w:t>Confidencialidade</w:t>
      </w:r>
    </w:p>
    <w:p>
      <w:pPr>
        <w:numPr>
          <w:ilvl w:val="0"/>
          <w:numId w:val="10"/>
        </w:numPr>
        <w:spacing w:after="80" w:line="300" w:lineRule="auto"/>
      </w:pPr>
      <w:r>
        <w:rPr>
          <w:rFonts w:ascii="Nimbus Sans" w:hAnsi="Nimbus Sans" w:eastAsia="Nimbus Sans" w:cs="Nimbus Sans"/>
          <w:b w:val="0"/>
          <w:i w:val="0"/>
          <w:color w:val="17243D"/>
          <w:sz w:val="19"/>
        </w:rPr>
        <w:t>Planos, preços, cobrança e tributos</w:t>
      </w:r>
    </w:p>
    <w:p>
      <w:pPr>
        <w:numPr>
          <w:ilvl w:val="0"/>
          <w:numId w:val="10"/>
        </w:numPr>
        <w:spacing w:after="80" w:line="300" w:lineRule="auto"/>
      </w:pPr>
      <w:r>
        <w:rPr>
          <w:rFonts w:ascii="Nimbus Sans" w:hAnsi="Nimbus Sans" w:eastAsia="Nimbus Sans" w:cs="Nimbus Sans"/>
          <w:b w:val="0"/>
          <w:i w:val="0"/>
          <w:color w:val="17243D"/>
          <w:sz w:val="19"/>
        </w:rPr>
        <w:t>Disponibilidade, manutenção e suporte</w:t>
      </w:r>
    </w:p>
    <w:p>
      <w:pPr>
        <w:numPr>
          <w:ilvl w:val="0"/>
          <w:numId w:val="10"/>
        </w:numPr>
        <w:spacing w:after="80" w:line="300" w:lineRule="auto"/>
      </w:pPr>
      <w:r>
        <w:rPr>
          <w:rFonts w:ascii="Nimbus Sans" w:hAnsi="Nimbus Sans" w:eastAsia="Nimbus Sans" w:cs="Nimbus Sans"/>
          <w:b w:val="0"/>
          <w:i w:val="0"/>
          <w:color w:val="17243D"/>
          <w:sz w:val="19"/>
        </w:rPr>
        <w:t>Suspensão e encerramento</w:t>
      </w:r>
    </w:p>
    <w:p>
      <w:pPr>
        <w:numPr>
          <w:ilvl w:val="0"/>
          <w:numId w:val="10"/>
        </w:numPr>
        <w:spacing w:after="80" w:line="300" w:lineRule="auto"/>
      </w:pPr>
      <w:r>
        <w:rPr>
          <w:rFonts w:ascii="Nimbus Sans" w:hAnsi="Nimbus Sans" w:eastAsia="Nimbus Sans" w:cs="Nimbus Sans"/>
          <w:b w:val="0"/>
          <w:i w:val="0"/>
          <w:color w:val="17243D"/>
          <w:sz w:val="19"/>
        </w:rPr>
        <w:t>Garantias e limites de responsabilidade</w:t>
      </w:r>
    </w:p>
    <w:p>
      <w:pPr>
        <w:numPr>
          <w:ilvl w:val="0"/>
          <w:numId w:val="10"/>
        </w:numPr>
        <w:spacing w:after="80" w:line="300" w:lineRule="auto"/>
      </w:pPr>
      <w:r>
        <w:rPr>
          <w:rFonts w:ascii="Nimbus Sans" w:hAnsi="Nimbus Sans" w:eastAsia="Nimbus Sans" w:cs="Nimbus Sans"/>
          <w:b w:val="0"/>
          <w:i w:val="0"/>
          <w:color w:val="17243D"/>
          <w:sz w:val="19"/>
        </w:rPr>
        <w:t>Indenização em relações empresariais</w:t>
      </w:r>
    </w:p>
    <w:p>
      <w:pPr>
        <w:numPr>
          <w:ilvl w:val="0"/>
          <w:numId w:val="10"/>
        </w:numPr>
        <w:spacing w:after="80" w:line="300" w:lineRule="auto"/>
      </w:pPr>
      <w:r>
        <w:rPr>
          <w:rFonts w:ascii="Nimbus Sans" w:hAnsi="Nimbus Sans" w:eastAsia="Nimbus Sans" w:cs="Nimbus Sans"/>
          <w:b w:val="0"/>
          <w:i w:val="0"/>
          <w:color w:val="17243D"/>
          <w:sz w:val="19"/>
        </w:rPr>
        <w:t>Proteção de dados e segurança</w:t>
      </w:r>
    </w:p>
    <w:p>
      <w:pPr>
        <w:numPr>
          <w:ilvl w:val="0"/>
          <w:numId w:val="10"/>
        </w:numPr>
        <w:spacing w:after="80" w:line="300" w:lineRule="auto"/>
      </w:pPr>
      <w:r>
        <w:rPr>
          <w:rFonts w:ascii="Nimbus Sans" w:hAnsi="Nimbus Sans" w:eastAsia="Nimbus Sans" w:cs="Nimbus Sans"/>
          <w:b w:val="0"/>
          <w:i w:val="0"/>
          <w:color w:val="17243D"/>
          <w:sz w:val="19"/>
        </w:rPr>
        <w:t>Alterações dos Termos</w:t>
      </w:r>
    </w:p>
    <w:p>
      <w:pPr>
        <w:numPr>
          <w:ilvl w:val="0"/>
          <w:numId w:val="10"/>
        </w:numPr>
        <w:spacing w:after="80" w:line="300" w:lineRule="auto"/>
      </w:pPr>
      <w:r>
        <w:rPr>
          <w:rFonts w:ascii="Nimbus Sans" w:hAnsi="Nimbus Sans" w:eastAsia="Nimbus Sans" w:cs="Nimbus Sans"/>
          <w:b w:val="0"/>
          <w:i w:val="0"/>
          <w:color w:val="17243D"/>
          <w:sz w:val="19"/>
        </w:rPr>
        <w:t>Lei aplicável e solução de conflitos</w:t>
      </w:r>
    </w:p>
    <w:p>
      <w:pPr>
        <w:numPr>
          <w:ilvl w:val="0"/>
          <w:numId w:val="10"/>
        </w:numPr>
        <w:spacing w:after="80" w:line="300" w:lineRule="auto"/>
      </w:pPr>
      <w:r>
        <w:rPr>
          <w:rFonts w:ascii="Nimbus Sans" w:hAnsi="Nimbus Sans" w:eastAsia="Nimbus Sans" w:cs="Nimbus Sans"/>
          <w:b w:val="0"/>
          <w:i w:val="0"/>
          <w:color w:val="17243D"/>
          <w:sz w:val="19"/>
        </w:rPr>
        <w:t>Disposições gerais</w:t>
      </w:r>
    </w:p>
    <w:p>
      <w:pPr>
        <w:numPr>
          <w:ilvl w:val="0"/>
          <w:numId w:val="10"/>
        </w:numPr>
        <w:spacing w:after="80" w:line="300" w:lineRule="auto"/>
      </w:pPr>
      <w:r>
        <w:rPr>
          <w:rFonts w:ascii="Nimbus Sans" w:hAnsi="Nimbus Sans" w:eastAsia="Nimbus Sans" w:cs="Nimbus Sans"/>
          <w:b w:val="0"/>
          <w:i w:val="0"/>
          <w:color w:val="17243D"/>
          <w:sz w:val="19"/>
        </w:rPr>
        <w:t>Contato</w:t>
      </w:r>
    </w:p>
    <w:p>
      <w:pPr>
        <w:numPr>
          <w:ilvl w:val="0"/>
          <w:numId w:val="10"/>
        </w:numPr>
        <w:spacing w:after="80" w:line="300" w:lineRule="auto"/>
      </w:pPr>
      <w:r>
        <w:rPr>
          <w:rFonts w:ascii="Nimbus Sans" w:hAnsi="Nimbus Sans" w:eastAsia="Nimbus Sans" w:cs="Nimbus Sans"/>
          <w:b w:val="0"/>
          <w:i w:val="0"/>
          <w:color w:val="17243D"/>
          <w:sz w:val="19"/>
        </w:rPr>
        <w:t>Condições obrigatórias antes da publicação</w:t>
      </w:r>
    </w:p>
    <w:p>
      <w:pPr>
        <w:numPr>
          <w:ilvl w:val="0"/>
          <w:numId w:val="10"/>
        </w:numPr>
        <w:spacing w:after="80" w:line="300" w:lineRule="auto"/>
      </w:pPr>
      <w:r>
        <w:rPr>
          <w:rFonts w:ascii="Nimbus Sans" w:hAnsi="Nimbus Sans" w:eastAsia="Nimbus Sans" w:cs="Nimbus Sans"/>
          <w:b w:val="0"/>
          <w:i w:val="0"/>
          <w:color w:val="17243D"/>
          <w:sz w:val="19"/>
        </w:rPr>
        <w:t>Referências normativas de elaboração</w:t>
      </w:r>
    </w:p>
    <w:p>
      <w:r>
        <w:br w:type="page"/>
      </w:r>
    </w:p>
    <w:p>
      <w:pPr>
        <w:pStyle w:val="Heading1"/>
        <w:keepNext/>
      </w:pPr>
      <w:r>
        <w:rPr>
          <w:rFonts w:ascii="Nimbus Sans" w:hAnsi="Nimbus Sans" w:eastAsia="Nimbus Sans" w:cs="Nimbus Sans"/>
          <w:b w:val="0"/>
          <w:i w:val="0"/>
          <w:color w:val="20B2AA"/>
          <w:sz w:val="32"/>
        </w:rPr>
        <w:t>1. Aceitação e documentos aplicáveis</w:t>
      </w:r>
    </w:p>
    <w:p>
      <w:r>
        <w:rPr>
          <w:rFonts w:ascii="Nimbus Sans" w:hAnsi="Nimbus Sans" w:eastAsia="Nimbus Sans" w:cs="Nimbus Sans"/>
          <w:b w:val="0"/>
          <w:i w:val="0"/>
          <w:color w:val="191D17"/>
          <w:sz w:val="21"/>
        </w:rPr>
        <w:t>Estes Termos regulam o acesso e uso dos sites, do portal de vagas, dos ambientes white label, aplicações, integrações, suporte e demais serviços da JobForged. Ao criar conta, aceitar proposta, usar recurso autenticado ou prosseguir após apresentação adequada destes Termos, a pessoa declara que os leu e concorda com eles.</w:t>
      </w:r>
    </w:p>
    <w:p>
      <w:r>
        <w:rPr>
          <w:rFonts w:ascii="Nimbus Sans" w:hAnsi="Nimbus Sans" w:eastAsia="Nimbus Sans" w:cs="Nimbus Sans"/>
          <w:b w:val="0"/>
          <w:i w:val="0"/>
          <w:color w:val="191D17"/>
          <w:sz w:val="21"/>
        </w:rPr>
        <w:t>A Política de Privacidade, o Aviso de Cookies, a proposta comercial, a ordem de serviço, o plano contratado, o contrato empresarial, o acordo de tratamento de dados e políticas específicas integram a relação quando apresentados e aceitos. Em conflito, prevalece o documento mais específico; direitos obrigatórios previstos em lei permanecem preservados.</w:t>
      </w:r>
    </w:p>
    <w:p>
      <w:r>
        <w:rPr>
          <w:rFonts w:ascii="Nimbus Sans" w:hAnsi="Nimbus Sans" w:eastAsia="Nimbus Sans" w:cs="Nimbus Sans"/>
          <w:b w:val="0"/>
          <w:i w:val="0"/>
          <w:color w:val="191D17"/>
          <w:sz w:val="21"/>
        </w:rPr>
        <w:t>Se a pessoa não concordar, não deverá criar conta ou usar recursos sujeitos à aceitação. A simples visita a páginas públicas permanece sujeita às regras aplicáveis de propriedade, segurança, privacidade e uso aceitável.</w:t>
      </w:r>
    </w:p>
    <w:p>
      <w:pPr>
        <w:pStyle w:val="Heading1"/>
        <w:keepNext/>
      </w:pPr>
      <w:r>
        <w:rPr>
          <w:rFonts w:ascii="Nimbus Sans" w:hAnsi="Nimbus Sans" w:eastAsia="Nimbus Sans" w:cs="Nimbus Sans"/>
          <w:b w:val="0"/>
          <w:i w:val="0"/>
          <w:color w:val="20B2AA"/>
          <w:sz w:val="32"/>
        </w:rPr>
        <w:t>2. Identidade, elegibilidade e representação</w:t>
      </w:r>
    </w:p>
    <w:p>
      <w:r>
        <w:rPr>
          <w:rFonts w:ascii="Nimbus Sans" w:hAnsi="Nimbus Sans" w:eastAsia="Nimbus Sans" w:cs="Nimbus Sans"/>
          <w:b w:val="0"/>
          <w:i w:val="0"/>
          <w:color w:val="191D17"/>
          <w:sz w:val="21"/>
        </w:rPr>
        <w:t xml:space="preserve">O serviço é fornecido por </w:t>
      </w:r>
      <w:r>
        <w:rPr>
          <w:rFonts w:ascii="Nimbus Sans" w:hAnsi="Nimbus Sans" w:eastAsia="Nimbus Sans" w:cs="Nimbus Sans"/>
          <w:b/>
          <w:i w:val="0"/>
          <w:color w:val="B42318"/>
          <w:sz w:val="21"/>
        </w:rPr>
        <w:t>[RAZÃO SOCIAL / NOME EMPRESARIAL]</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[CNPJ/CPF]</w:t>
      </w:r>
      <w:r>
        <w:rPr>
          <w:rFonts w:ascii="Nimbus Sans" w:hAnsi="Nimbus Sans" w:eastAsia="Nimbus Sans" w:cs="Nimbus Sans"/>
          <w:b w:val="0"/>
          <w:i w:val="0"/>
          <w:color w:val="191D17"/>
          <w:sz w:val="21"/>
        </w:rPr>
        <w:t xml:space="preserve">, com sede em </w:t>
      </w:r>
      <w:r>
        <w:rPr>
          <w:rFonts w:ascii="Nimbus Sans" w:hAnsi="Nimbus Sans" w:eastAsia="Nimbus Sans" w:cs="Nimbus Sans"/>
          <w:b/>
          <w:i w:val="0"/>
          <w:color w:val="B42318"/>
          <w:sz w:val="21"/>
        </w:rPr>
        <w:t>[ENDEREÇO DA SEDE]</w:t>
      </w:r>
      <w:r>
        <w:rPr>
          <w:rFonts w:ascii="Nimbus Sans" w:hAnsi="Nimbus Sans" w:eastAsia="Nimbus Sans" w:cs="Nimbus Sans"/>
          <w:b w:val="0"/>
          <w:i w:val="0"/>
          <w:color w:val="191D17"/>
          <w:sz w:val="21"/>
        </w:rPr>
        <w:t>. “JobForged by Inside Forged” é uma assinatura de marca e não substitui a identificação jurídica responsável.</w:t>
      </w:r>
    </w:p>
    <w:p>
      <w:r>
        <w:rPr>
          <w:rFonts w:ascii="Nimbus Sans" w:hAnsi="Nimbus Sans" w:eastAsia="Nimbus Sans" w:cs="Nimbus Sans"/>
          <w:b w:val="0"/>
          <w:i w:val="0"/>
          <w:color w:val="191D17"/>
          <w:sz w:val="21"/>
        </w:rPr>
        <w:t>Quem aceita em nome de empresa declara possuir poderes para vinculá-la. A empresa responde por seus usuários autorizados, permissões e instruções. Pessoas sem capacidade civil plena somente poderão usar o serviço com assistência ou representação exigida por lei. Oportunidades de aprendizagem, estágio ou trabalho adolescente devem cumprir legislação e melhor interesse.</w:t>
      </w:r>
    </w:p>
    <w:p>
      <w:pPr>
        <w:pStyle w:val="Heading1"/>
        <w:keepNext/>
      </w:pPr>
      <w:r>
        <w:rPr>
          <w:rFonts w:ascii="Nimbus Sans" w:hAnsi="Nimbus Sans" w:eastAsia="Nimbus Sans" w:cs="Nimbus Sans"/>
          <w:b w:val="0"/>
          <w:i w:val="0"/>
          <w:color w:val="20B2AA"/>
          <w:sz w:val="32"/>
        </w:rPr>
        <w:t>3. Natureza e estágio dos serviços</w:t>
      </w:r>
    </w:p>
    <w:p>
      <w:r>
        <w:rPr>
          <w:rFonts w:ascii="Nimbus Sans" w:hAnsi="Nimbus Sans" w:eastAsia="Nimbus Sans" w:cs="Nimbus Sans"/>
          <w:b w:val="0"/>
          <w:i w:val="0"/>
          <w:color w:val="191D17"/>
          <w:sz w:val="21"/>
        </w:rPr>
        <w:t>A JobForged é uma plataforma tecnológica de recrutamento e seleção. Conforme plano e disponibilidade, poderá incluir páginas de vagas, candidatura, gestão de candidatos, banco de talentos, listas e Kanban, avaliações, entrevistas, mensagens, WhatsApp, automações, integrações, IA assistiva, analytics, faturamento, publicidade e portal agregado.</w:t>
      </w:r>
    </w:p>
    <w:p>
      <w:r>
        <w:rPr>
          <w:rFonts w:ascii="Nimbus Sans" w:hAnsi="Nimbus Sans" w:eastAsia="Nimbus Sans" w:cs="Nimbus Sans"/>
          <w:b w:val="0"/>
          <w:i w:val="0"/>
          <w:color w:val="191D17"/>
          <w:sz w:val="21"/>
        </w:rPr>
        <w:t>A enumeração descreve o ecossistema possível e não garante que todos os recursos estejam ativos. O escopo vinculante é o que estiver contratado e habilitado. Recursos futuros, beta, piloto, acesso antecipado, experimentais ou dependentes de terceiro devem ser identificados e podem possuir regras adicionais.</w:t>
      </w:r>
    </w:p>
    <w:p>
      <w:r>
        <w:rPr>
          <w:rFonts w:ascii="Nimbus Sans" w:hAnsi="Nimbus Sans" w:eastAsia="Nimbus Sans" w:cs="Nimbus Sans"/>
          <w:b w:val="0"/>
          <w:i w:val="0"/>
          <w:color w:val="191D17"/>
          <w:sz w:val="21"/>
        </w:rPr>
        <w:t>A JobForged poderá evoluir o serviço. Alterações que reduzam materialmente funcionalidade contratada serão comunicadas e tratadas conforme contrato e lei.</w:t>
      </w:r>
    </w:p>
    <w:p>
      <w:pPr>
        <w:pStyle w:val="Heading1"/>
        <w:keepNext/>
      </w:pPr>
      <w:r>
        <w:rPr>
          <w:rFonts w:ascii="Nimbus Sans" w:hAnsi="Nimbus Sans" w:eastAsia="Nimbus Sans" w:cs="Nimbus Sans"/>
          <w:b w:val="0"/>
          <w:i w:val="0"/>
          <w:color w:val="20B2AA"/>
          <w:sz w:val="32"/>
        </w:rPr>
        <w:t>4. Papel da JobForged</w:t>
      </w:r>
    </w:p>
    <w:p>
      <w:r>
        <w:rPr>
          <w:rFonts w:ascii="Nimbus Sans" w:hAnsi="Nimbus Sans" w:eastAsia="Nimbus Sans" w:cs="Nimbus Sans"/>
          <w:b w:val="0"/>
          <w:i w:val="0"/>
          <w:color w:val="191D17"/>
          <w:sz w:val="21"/>
        </w:rPr>
        <w:t>A JobForged fornece infraestrutura para empresas organizarem processos de recrutamento. Salvo contratação expressa em sentido diverso, não é:</w:t>
      </w:r>
    </w:p>
    <w:p>
      <w:pPr>
        <w:pStyle w:val="ListBullet"/>
      </w:pPr>
      <w:r>
        <w:rPr>
          <w:rFonts w:ascii="Nimbus Sans" w:hAnsi="Nimbus Sans" w:eastAsia="Nimbus Sans" w:cs="Nimbus Sans"/>
          <w:b w:val="0"/>
          <w:i w:val="0"/>
          <w:color w:val="191D17"/>
          <w:sz w:val="21"/>
        </w:rPr>
        <w:t xml:space="preserve"> empregadora, tomadora ou representante da empresa que publica a vaga;</w:t>
      </w:r>
    </w:p>
    <w:p>
      <w:pPr>
        <w:pStyle w:val="ListBullet"/>
      </w:pPr>
      <w:r>
        <w:rPr>
          <w:rFonts w:ascii="Nimbus Sans" w:hAnsi="Nimbus Sans" w:eastAsia="Nimbus Sans" w:cs="Nimbus Sans"/>
          <w:b w:val="0"/>
          <w:i w:val="0"/>
          <w:color w:val="191D17"/>
          <w:sz w:val="21"/>
        </w:rPr>
        <w:t xml:space="preserve"> agência de emprego, sindicato ou autoridade trabalhista;</w:t>
      </w:r>
    </w:p>
    <w:p>
      <w:pPr>
        <w:pStyle w:val="ListBullet"/>
      </w:pPr>
      <w:r>
        <w:rPr>
          <w:rFonts w:ascii="Nimbus Sans" w:hAnsi="Nimbus Sans" w:eastAsia="Nimbus Sans" w:cs="Nimbus Sans"/>
          <w:b w:val="0"/>
          <w:i w:val="0"/>
          <w:color w:val="191D17"/>
          <w:sz w:val="21"/>
        </w:rPr>
        <w:t xml:space="preserve"> garantidora da autenticidade de cada usuário, vaga, currículo ou declaração;</w:t>
      </w:r>
    </w:p>
    <w:p>
      <w:pPr>
        <w:pStyle w:val="ListBullet"/>
      </w:pPr>
      <w:r>
        <w:rPr>
          <w:rFonts w:ascii="Nimbus Sans" w:hAnsi="Nimbus Sans" w:eastAsia="Nimbus Sans" w:cs="Nimbus Sans"/>
          <w:b w:val="0"/>
          <w:i w:val="0"/>
          <w:color w:val="191D17"/>
          <w:sz w:val="21"/>
        </w:rPr>
        <w:t xml:space="preserve"> garantidora de entrevista, contratação, permanência, desempenho ou adequação;</w:t>
      </w:r>
    </w:p>
    <w:p>
      <w:pPr>
        <w:pStyle w:val="ListBullet"/>
      </w:pPr>
      <w:r>
        <w:rPr>
          <w:rFonts w:ascii="Nimbus Sans" w:hAnsi="Nimbus Sans" w:eastAsia="Nimbus Sans" w:cs="Nimbus Sans"/>
          <w:b w:val="0"/>
          <w:i w:val="0"/>
          <w:color w:val="191D17"/>
          <w:sz w:val="21"/>
        </w:rPr>
        <w:t xml:space="preserve"> responsável pela decisão de contratação, requisitos ou condições de trabalho definidos pela empresa;</w:t>
      </w:r>
    </w:p>
    <w:p>
      <w:pPr>
        <w:pStyle w:val="ListBullet"/>
      </w:pPr>
      <w:r>
        <w:rPr>
          <w:rFonts w:ascii="Nimbus Sans" w:hAnsi="Nimbus Sans" w:eastAsia="Nimbus Sans" w:cs="Nimbus Sans"/>
          <w:b w:val="0"/>
          <w:i w:val="0"/>
          <w:color w:val="191D17"/>
          <w:sz w:val="21"/>
        </w:rPr>
        <w:t xml:space="preserve"> consultoria jurídica, trabalhista, contábil, médica ou psicológica;</w:t>
      </w:r>
    </w:p>
    <w:p>
      <w:pPr>
        <w:pStyle w:val="ListBullet"/>
      </w:pPr>
      <w:r>
        <w:rPr>
          <w:rFonts w:ascii="Nimbus Sans" w:hAnsi="Nimbus Sans" w:eastAsia="Nimbus Sans" w:cs="Nimbus Sans"/>
          <w:b w:val="0"/>
          <w:i w:val="0"/>
          <w:color w:val="191D17"/>
          <w:sz w:val="21"/>
        </w:rPr>
        <w:t xml:space="preserve"> fornecedora de antecedentes, crédito ou investigação, salvo serviço específico e legalmente estruturado.</w:t>
      </w:r>
    </w:p>
    <w:p>
      <w:r>
        <w:rPr>
          <w:rFonts w:ascii="Nimbus Sans" w:hAnsi="Nimbus Sans" w:eastAsia="Nimbus Sans" w:cs="Nimbus Sans"/>
          <w:b w:val="0"/>
          <w:i w:val="0"/>
          <w:color w:val="191D17"/>
          <w:sz w:val="21"/>
        </w:rPr>
        <w:t>A plataforma pode moderar conteúdo e adotar verificações proporcionais, mas isso não transfere à JobForged a autoria ou responsabilidade integral por conteúdo de terceiros. Essa delimitação não afasta deveres impostos por lei nem responsabilidade por atos próprios.</w:t>
      </w:r>
    </w:p>
    <w:p>
      <w:pPr>
        <w:pStyle w:val="Heading1"/>
        <w:keepNext/>
      </w:pPr>
      <w:r>
        <w:rPr>
          <w:rFonts w:ascii="Nimbus Sans" w:hAnsi="Nimbus Sans" w:eastAsia="Nimbus Sans" w:cs="Nimbus Sans"/>
          <w:b w:val="0"/>
          <w:i w:val="0"/>
          <w:color w:val="20B2AA"/>
          <w:sz w:val="32"/>
        </w:rPr>
        <w:t>5. Perfis de usuário</w:t>
      </w:r>
    </w:p>
    <w:p>
      <w:pPr>
        <w:pStyle w:val="Heading2"/>
        <w:keepNext/>
      </w:pPr>
      <w:r>
        <w:rPr>
          <w:rFonts w:ascii="Nimbus Sans" w:hAnsi="Nimbus Sans" w:eastAsia="Nimbus Sans" w:cs="Nimbus Sans"/>
          <w:b w:val="0"/>
          <w:i w:val="0"/>
          <w:color w:val="17243D"/>
          <w:sz w:val="26"/>
        </w:rPr>
        <w:t>5.1 Empresas clientes e administradores</w:t>
      </w:r>
    </w:p>
    <w:p>
      <w:r>
        <w:rPr>
          <w:rFonts w:ascii="Nimbus Sans" w:hAnsi="Nimbus Sans" w:eastAsia="Nimbus Sans" w:cs="Nimbus Sans"/>
          <w:b w:val="0"/>
          <w:i w:val="0"/>
          <w:color w:val="191D17"/>
          <w:sz w:val="21"/>
        </w:rPr>
        <w:t>Contratam e configuram o serviço, convidam usuários, definem permissões, criam vagas, escolhem critérios, tratam candidaturas e respondem por sua operação.</w:t>
      </w:r>
    </w:p>
    <w:p>
      <w:pPr>
        <w:pStyle w:val="Heading2"/>
        <w:keepNext/>
      </w:pPr>
      <w:r>
        <w:rPr>
          <w:rFonts w:ascii="Nimbus Sans" w:hAnsi="Nimbus Sans" w:eastAsia="Nimbus Sans" w:cs="Nimbus Sans"/>
          <w:b w:val="0"/>
          <w:i w:val="0"/>
          <w:color w:val="17243D"/>
          <w:sz w:val="26"/>
        </w:rPr>
        <w:t>5.2 Recrutadores, gestores e consultorias</w:t>
      </w:r>
    </w:p>
    <w:p>
      <w:r>
        <w:rPr>
          <w:rFonts w:ascii="Nimbus Sans" w:hAnsi="Nimbus Sans" w:eastAsia="Nimbus Sans" w:cs="Nimbus Sans"/>
          <w:b w:val="0"/>
          <w:i w:val="0"/>
          <w:color w:val="191D17"/>
          <w:sz w:val="21"/>
        </w:rPr>
        <w:t>Atuam segundo autorização da empresa. Devem respeitar confidencialidade, finalidade, não discriminação, instruções e limites de acesso.</w:t>
      </w:r>
    </w:p>
    <w:p>
      <w:pPr>
        <w:pStyle w:val="Heading2"/>
        <w:keepNext/>
      </w:pPr>
      <w:r>
        <w:rPr>
          <w:rFonts w:ascii="Nimbus Sans" w:hAnsi="Nimbus Sans" w:eastAsia="Nimbus Sans" w:cs="Nimbus Sans"/>
          <w:b w:val="0"/>
          <w:i w:val="0"/>
          <w:color w:val="17243D"/>
          <w:sz w:val="26"/>
        </w:rPr>
        <w:t>5.3 Pessoas candidatas</w:t>
      </w:r>
    </w:p>
    <w:p>
      <w:r>
        <w:rPr>
          <w:rFonts w:ascii="Nimbus Sans" w:hAnsi="Nimbus Sans" w:eastAsia="Nimbus Sans" w:cs="Nimbus Sans"/>
          <w:b w:val="0"/>
          <w:i w:val="0"/>
          <w:color w:val="191D17"/>
          <w:sz w:val="21"/>
        </w:rPr>
        <w:t>Pesquisam vagas, enviam dados, participam de etapas e gerenciam preferências quando disponíveis. A candidatura não cria vínculo empregatício com a JobForged.</w:t>
      </w:r>
    </w:p>
    <w:p>
      <w:pPr>
        <w:pStyle w:val="Heading2"/>
        <w:keepNext/>
      </w:pPr>
      <w:r>
        <w:rPr>
          <w:rFonts w:ascii="Nimbus Sans" w:hAnsi="Nimbus Sans" w:eastAsia="Nimbus Sans" w:cs="Nimbus Sans"/>
          <w:b w:val="0"/>
          <w:i w:val="0"/>
          <w:color w:val="17243D"/>
          <w:sz w:val="26"/>
        </w:rPr>
        <w:t>5.4 Visitantes, parceiros e anunciantes</w:t>
      </w:r>
    </w:p>
    <w:p>
      <w:r>
        <w:rPr>
          <w:rFonts w:ascii="Nimbus Sans" w:hAnsi="Nimbus Sans" w:eastAsia="Nimbus Sans" w:cs="Nimbus Sans"/>
          <w:b w:val="0"/>
          <w:i w:val="0"/>
          <w:color w:val="191D17"/>
          <w:sz w:val="21"/>
        </w:rPr>
        <w:t>Acessam áreas públicas ou conteúdos específicos e devem cumprir regras de propriedade, publicidade, segurança e uso aceitável.</w:t>
      </w:r>
    </w:p>
    <w:p>
      <w:pPr>
        <w:pStyle w:val="Heading1"/>
        <w:keepNext/>
      </w:pPr>
      <w:r>
        <w:rPr>
          <w:rFonts w:ascii="Nimbus Sans" w:hAnsi="Nimbus Sans" w:eastAsia="Nimbus Sans" w:cs="Nimbus Sans"/>
          <w:b w:val="0"/>
          <w:i w:val="0"/>
          <w:color w:val="20B2AA"/>
          <w:sz w:val="32"/>
        </w:rPr>
        <w:t>6. Contas, credenciais e acesso</w:t>
      </w:r>
    </w:p>
    <w:p>
      <w:r>
        <w:rPr>
          <w:rFonts w:ascii="Nimbus Sans" w:hAnsi="Nimbus Sans" w:eastAsia="Nimbus Sans" w:cs="Nimbus Sans"/>
          <w:b w:val="0"/>
          <w:i w:val="0"/>
          <w:color w:val="191D17"/>
          <w:sz w:val="21"/>
        </w:rPr>
        <w:t xml:space="preserve">As informações de cadastro devem ser verdadeiras, atuais e suficientes. Credenciais são pessoais e não devem ser compartilhadas. A pessoa deve proteger dispositivo, senha, autenticação multifator e sessões e comunicar uso indevido a </w:t>
      </w:r>
      <w:r>
        <w:rPr>
          <w:rFonts w:ascii="Nimbus Sans" w:hAnsi="Nimbus Sans" w:eastAsia="Nimbus Sans" w:cs="Nimbus Sans"/>
          <w:b/>
          <w:i w:val="0"/>
          <w:color w:val="B42318"/>
          <w:sz w:val="21"/>
        </w:rPr>
        <w:t>[E-MAIL DE SUPORTE]</w:t>
      </w:r>
      <w:r>
        <w:rPr>
          <w:rFonts w:ascii="Nimbus Sans" w:hAnsi="Nimbus Sans" w:eastAsia="Nimbus Sans" w:cs="Nimbus Sans"/>
          <w:b w:val="0"/>
          <w:i w:val="0"/>
          <w:color w:val="191D17"/>
          <w:sz w:val="21"/>
        </w:rPr>
        <w:t>.</w:t>
      </w:r>
    </w:p>
    <w:p>
      <w:r>
        <w:rPr>
          <w:rFonts w:ascii="Nimbus Sans" w:hAnsi="Nimbus Sans" w:eastAsia="Nimbus Sans" w:cs="Nimbus Sans"/>
          <w:b w:val="0"/>
          <w:i w:val="0"/>
          <w:color w:val="191D17"/>
          <w:sz w:val="21"/>
        </w:rPr>
        <w:t>Administradores devem conceder o menor privilégio necessário, revisar acessos e remover usuários desligados. A JobForged poderá exigir verificação de identidade ou empresa, redefinição de senha e controles adicionais em situações de risco.</w:t>
      </w:r>
    </w:p>
    <w:p>
      <w:r>
        <w:rPr>
          <w:rFonts w:ascii="Nimbus Sans" w:hAnsi="Nimbus Sans" w:eastAsia="Nimbus Sans" w:cs="Nimbus Sans"/>
          <w:b w:val="0"/>
          <w:i w:val="0"/>
          <w:color w:val="191D17"/>
          <w:sz w:val="21"/>
        </w:rPr>
        <w:t>Ações realizadas com credenciais válidas poderão ser atribuídas à conta até que haja aviso ou evidência de comprometimento, sem excluir investigação de fraude, falha da plataforma ou responsabilidade legal aplicável.</w:t>
      </w:r>
    </w:p>
    <w:p>
      <w:pPr>
        <w:pStyle w:val="Heading1"/>
        <w:keepNext/>
      </w:pPr>
      <w:r>
        <w:rPr>
          <w:rFonts w:ascii="Nimbus Sans" w:hAnsi="Nimbus Sans" w:eastAsia="Nimbus Sans" w:cs="Nimbus Sans"/>
          <w:b w:val="0"/>
          <w:i w:val="0"/>
          <w:color w:val="20B2AA"/>
          <w:sz w:val="32"/>
        </w:rPr>
        <w:t>7. Responsabilidades das empresas e recrutadores</w:t>
      </w:r>
    </w:p>
    <w:p>
      <w:r>
        <w:rPr>
          <w:rFonts w:ascii="Nimbus Sans" w:hAnsi="Nimbus Sans" w:eastAsia="Nimbus Sans" w:cs="Nimbus Sans"/>
          <w:b w:val="0"/>
          <w:i w:val="0"/>
          <w:color w:val="191D17"/>
          <w:sz w:val="21"/>
        </w:rPr>
        <w:t>A empresa cliente é responsável por:</w:t>
      </w:r>
    </w:p>
    <w:p>
      <w:pPr>
        <w:pStyle w:val="ListBullet"/>
      </w:pPr>
      <w:r>
        <w:rPr>
          <w:rFonts w:ascii="Nimbus Sans" w:hAnsi="Nimbus Sans" w:eastAsia="Nimbus Sans" w:cs="Nimbus Sans"/>
          <w:b w:val="0"/>
          <w:i w:val="0"/>
          <w:color w:val="191D17"/>
          <w:sz w:val="21"/>
        </w:rPr>
        <w:t xml:space="preserve"> possuir legitimidade para publicar vagas e se identificar com exatidão;</w:t>
      </w:r>
    </w:p>
    <w:p>
      <w:pPr>
        <w:pStyle w:val="ListBullet"/>
      </w:pPr>
      <w:r>
        <w:rPr>
          <w:rFonts w:ascii="Nimbus Sans" w:hAnsi="Nimbus Sans" w:eastAsia="Nimbus Sans" w:cs="Nimbus Sans"/>
          <w:b w:val="0"/>
          <w:i w:val="0"/>
          <w:color w:val="191D17"/>
          <w:sz w:val="21"/>
        </w:rPr>
        <w:t xml:space="preserve"> manter título, requisitos, localidade, remuneração quando informada, benefícios, modalidade, prazo e condições corretos;</w:t>
      </w:r>
    </w:p>
    <w:p>
      <w:pPr>
        <w:pStyle w:val="ListBullet"/>
      </w:pPr>
      <w:r>
        <w:rPr>
          <w:rFonts w:ascii="Nimbus Sans" w:hAnsi="Nimbus Sans" w:eastAsia="Nimbus Sans" w:cs="Nimbus Sans"/>
          <w:b w:val="0"/>
          <w:i w:val="0"/>
          <w:color w:val="191D17"/>
          <w:sz w:val="21"/>
        </w:rPr>
        <w:t xml:space="preserve"> não publicar vagas fictícias, enganosas, ilegais, abusivas, discriminatórias ou destinadas a fraude, pirâmide, cobrança indevida ou coleta excessiva;</w:t>
      </w:r>
    </w:p>
    <w:p>
      <w:pPr>
        <w:pStyle w:val="ListBullet"/>
      </w:pPr>
      <w:r>
        <w:rPr>
          <w:rFonts w:ascii="Nimbus Sans" w:hAnsi="Nimbus Sans" w:eastAsia="Nimbus Sans" w:cs="Nimbus Sans"/>
          <w:b w:val="0"/>
          <w:i w:val="0"/>
          <w:color w:val="191D17"/>
          <w:sz w:val="21"/>
        </w:rPr>
        <w:t xml:space="preserve"> definir critérios relacionados à função, proporcionais e não discriminatórios;</w:t>
      </w:r>
    </w:p>
    <w:p>
      <w:pPr>
        <w:pStyle w:val="ListBullet"/>
      </w:pPr>
      <w:r>
        <w:rPr>
          <w:rFonts w:ascii="Nimbus Sans" w:hAnsi="Nimbus Sans" w:eastAsia="Nimbus Sans" w:cs="Nimbus Sans"/>
          <w:b w:val="0"/>
          <w:i w:val="0"/>
          <w:color w:val="191D17"/>
          <w:sz w:val="21"/>
        </w:rPr>
        <w:t xml:space="preserve"> informar às pessoas candidatas sua identidade, finalidades, bases legais, compartilhamentos, retenção e canais de direitos;</w:t>
      </w:r>
    </w:p>
    <w:p>
      <w:pPr>
        <w:pStyle w:val="ListBullet"/>
      </w:pPr>
      <w:r>
        <w:rPr>
          <w:rFonts w:ascii="Nimbus Sans" w:hAnsi="Nimbus Sans" w:eastAsia="Nimbus Sans" w:cs="Nimbus Sans"/>
          <w:b w:val="0"/>
          <w:i w:val="0"/>
          <w:color w:val="191D17"/>
          <w:sz w:val="21"/>
        </w:rPr>
        <w:t xml:space="preserve"> possuir base legal para importar, acessar, compartilhar e manter dados;</w:t>
      </w:r>
    </w:p>
    <w:p>
      <w:pPr>
        <w:pStyle w:val="ListBullet"/>
      </w:pPr>
      <w:r>
        <w:rPr>
          <w:rFonts w:ascii="Nimbus Sans" w:hAnsi="Nimbus Sans" w:eastAsia="Nimbus Sans" w:cs="Nimbus Sans"/>
          <w:b w:val="0"/>
          <w:i w:val="0"/>
          <w:color w:val="191D17"/>
          <w:sz w:val="21"/>
        </w:rPr>
        <w:t xml:space="preserve"> obter autorizações para marcas, textos, imagens, currículos e documentos enviados;</w:t>
      </w:r>
    </w:p>
    <w:p>
      <w:pPr>
        <w:pStyle w:val="ListBullet"/>
      </w:pPr>
      <w:r>
        <w:rPr>
          <w:rFonts w:ascii="Nimbus Sans" w:hAnsi="Nimbus Sans" w:eastAsia="Nimbus Sans" w:cs="Nimbus Sans"/>
          <w:b w:val="0"/>
          <w:i w:val="0"/>
          <w:color w:val="191D17"/>
          <w:sz w:val="21"/>
        </w:rPr>
        <w:t xml:space="preserve"> revisar recomendações, scores, resumos e automações antes de decisões materiais;</w:t>
      </w:r>
    </w:p>
    <w:p>
      <w:pPr>
        <w:pStyle w:val="ListBullet"/>
      </w:pPr>
      <w:r>
        <w:rPr>
          <w:rFonts w:ascii="Nimbus Sans" w:hAnsi="Nimbus Sans" w:eastAsia="Nimbus Sans" w:cs="Nimbus Sans"/>
          <w:b w:val="0"/>
          <w:i w:val="0"/>
          <w:color w:val="191D17"/>
          <w:sz w:val="21"/>
        </w:rPr>
        <w:t xml:space="preserve"> cumprir legislação trabalhista, de estágio, aprendizagem, igualdade, acessibilidade, consumidor, internet e proteção de dados;</w:t>
      </w:r>
    </w:p>
    <w:p>
      <w:pPr>
        <w:pStyle w:val="ListBullet"/>
      </w:pPr>
      <w:r>
        <w:rPr>
          <w:rFonts w:ascii="Nimbus Sans" w:hAnsi="Nimbus Sans" w:eastAsia="Nimbus Sans" w:cs="Nimbus Sans"/>
          <w:b w:val="0"/>
          <w:i w:val="0"/>
          <w:color w:val="191D17"/>
          <w:sz w:val="21"/>
        </w:rPr>
        <w:t xml:space="preserve"> conduzir comunicações respeitosas e atualizar, pausar ou encerrar vagas;</w:t>
      </w:r>
    </w:p>
    <w:p>
      <w:pPr>
        <w:pStyle w:val="ListBullet"/>
      </w:pPr>
      <w:r>
        <w:rPr>
          <w:rFonts w:ascii="Nimbus Sans" w:hAnsi="Nimbus Sans" w:eastAsia="Nimbus Sans" w:cs="Nimbus Sans"/>
          <w:b w:val="0"/>
          <w:i w:val="0"/>
          <w:color w:val="191D17"/>
          <w:sz w:val="21"/>
        </w:rPr>
        <w:t xml:space="preserve"> responder por decisões, ofertas, contratos, admissões e relações de trabalho;</w:t>
      </w:r>
    </w:p>
    <w:p>
      <w:pPr>
        <w:pStyle w:val="ListBullet"/>
      </w:pPr>
      <w:r>
        <w:rPr>
          <w:rFonts w:ascii="Nimbus Sans" w:hAnsi="Nimbus Sans" w:eastAsia="Nimbus Sans" w:cs="Nimbus Sans"/>
          <w:b w:val="0"/>
          <w:i w:val="0"/>
          <w:color w:val="191D17"/>
          <w:sz w:val="21"/>
        </w:rPr>
        <w:t xml:space="preserve"> configurar usuários, permissões, retenção, mensagens e integrações com segurança.</w:t>
      </w:r>
    </w:p>
    <w:p>
      <w:r>
        <w:rPr>
          <w:rFonts w:ascii="Nimbus Sans" w:hAnsi="Nimbus Sans" w:eastAsia="Nimbus Sans" w:cs="Nimbus Sans"/>
          <w:b w:val="0"/>
          <w:i w:val="0"/>
          <w:color w:val="191D17"/>
          <w:sz w:val="21"/>
        </w:rPr>
        <w:t>A JobForged poderá solicitar comprovações, suspender publicação, limitar recurso ou comunicar autoridades quando houver indício fundamentado de fraude, ilegalidade ou risco.</w:t>
      </w:r>
    </w:p>
    <w:p>
      <w:pPr>
        <w:pStyle w:val="Heading1"/>
        <w:keepNext/>
      </w:pPr>
      <w:r>
        <w:rPr>
          <w:rFonts w:ascii="Nimbus Sans" w:hAnsi="Nimbus Sans" w:eastAsia="Nimbus Sans" w:cs="Nimbus Sans"/>
          <w:b w:val="0"/>
          <w:i w:val="0"/>
          <w:color w:val="20B2AA"/>
          <w:sz w:val="32"/>
        </w:rPr>
        <w:t>8. Responsabilidades das pessoas candidatas</w:t>
      </w:r>
    </w:p>
    <w:p>
      <w:r>
        <w:rPr>
          <w:rFonts w:ascii="Nimbus Sans" w:hAnsi="Nimbus Sans" w:eastAsia="Nimbus Sans" w:cs="Nimbus Sans"/>
          <w:b w:val="0"/>
          <w:i w:val="0"/>
          <w:color w:val="191D17"/>
          <w:sz w:val="21"/>
        </w:rPr>
        <w:t>A pessoa candidata deve fornecer informações verdadeiras e ter direito de usar documentos, links e conteúdos enviados. Não deve se passar por terceiro, adulterar experiência, enviar malware, fraudar avaliações, assediar usuários, explorar falhas ou usar a plataforma para finalidade alheia ao recrutamento.</w:t>
      </w:r>
    </w:p>
    <w:p>
      <w:r>
        <w:rPr>
          <w:rFonts w:ascii="Nimbus Sans" w:hAnsi="Nimbus Sans" w:eastAsia="Nimbus Sans" w:cs="Nimbus Sans"/>
          <w:b w:val="0"/>
          <w:i w:val="0"/>
          <w:color w:val="191D17"/>
          <w:sz w:val="21"/>
        </w:rPr>
        <w:t>A pessoa decide quais dados incluir, respeitados campos necessários. Não deve inserir dados sensíveis desnecessários, segredos de terceiros, documentos de identidade ou informações financeiras em campos não destinados a isso.</w:t>
      </w:r>
    </w:p>
    <w:p>
      <w:r>
        <w:rPr>
          <w:rFonts w:ascii="Nimbus Sans" w:hAnsi="Nimbus Sans" w:eastAsia="Nimbus Sans" w:cs="Nimbus Sans"/>
          <w:b w:val="0"/>
          <w:i w:val="0"/>
          <w:color w:val="191D17"/>
          <w:sz w:val="21"/>
        </w:rPr>
        <w:t>A JobForged não garante resposta, entrevista, contratação ou resultado. Dúvidas sobre vaga, critério, etapa ou decisão devem ser dirigidas à empresa responsável, sem prejuízo do suporte técnico e dos direitos de privacidade.</w:t>
      </w:r>
    </w:p>
    <w:p>
      <w:pPr>
        <w:pStyle w:val="Heading1"/>
        <w:keepNext/>
      </w:pPr>
      <w:r>
        <w:rPr>
          <w:rFonts w:ascii="Nimbus Sans" w:hAnsi="Nimbus Sans" w:eastAsia="Nimbus Sans" w:cs="Nimbus Sans"/>
          <w:b w:val="0"/>
          <w:i w:val="0"/>
          <w:color w:val="20B2AA"/>
          <w:sz w:val="32"/>
        </w:rPr>
        <w:t xml:space="preserve">9. Portal agregado </w:t>
      </w:r>
      <w:r>
        <w:rPr>
          <w:rFonts w:ascii="DejaVu Sans Mono" w:hAnsi="DejaVu Sans Mono" w:eastAsia="DejaVu Sans Mono" w:cs="DejaVu Sans Mono"/>
          <w:b w:val="0"/>
          <w:i w:val="0"/>
          <w:color w:val="17243D"/>
          <w:sz w:val="18"/>
        </w:rPr>
        <w:t>vagas.jobforged.com</w:t>
      </w:r>
    </w:p>
    <w:p>
      <w:r>
        <w:rPr>
          <w:rFonts w:ascii="Nimbus Sans" w:hAnsi="Nimbus Sans" w:eastAsia="Nimbus Sans" w:cs="Nimbus Sans"/>
          <w:b w:val="0"/>
          <w:i w:val="0"/>
          <w:color w:val="191D17"/>
          <w:sz w:val="21"/>
        </w:rPr>
        <w:t>A JobForged planeja manter uma página pública que reúna vagas públicas e ativas publicadas por empresas usuárias. A definição do endereço não significa que o portal já esteja lançado. Antes da confirmação, materiais devem usar “planejado”, “em desenvolvimento” ou “em piloto”, conforme a realidade.</w:t>
      </w:r>
    </w:p>
    <w:p>
      <w:r>
        <w:rPr>
          <w:rFonts w:ascii="Nimbus Sans" w:hAnsi="Nimbus Sans" w:eastAsia="Nimbus Sans" w:cs="Nimbus Sans"/>
          <w:b w:val="0"/>
          <w:i w:val="0"/>
          <w:color w:val="191D17"/>
          <w:sz w:val="21"/>
        </w:rPr>
        <w:t>Quando habilitado, o portal poderá:</w:t>
      </w:r>
    </w:p>
    <w:p>
      <w:pPr>
        <w:pStyle w:val="ListBullet"/>
      </w:pPr>
      <w:r>
        <w:rPr>
          <w:rFonts w:ascii="Nimbus Sans" w:hAnsi="Nimbus Sans" w:eastAsia="Nimbus Sans" w:cs="Nimbus Sans"/>
          <w:b w:val="0"/>
          <w:i w:val="0"/>
          <w:color w:val="191D17"/>
          <w:sz w:val="21"/>
        </w:rPr>
        <w:t xml:space="preserve"> listar todas as vagas elegíveis publicadas e autorizadas na JobForged, não todas as vagas existentes no mercado;</w:t>
      </w:r>
    </w:p>
    <w:p>
      <w:pPr>
        <w:pStyle w:val="ListBullet"/>
      </w:pPr>
      <w:r>
        <w:rPr>
          <w:rFonts w:ascii="Nimbus Sans" w:hAnsi="Nimbus Sans" w:eastAsia="Nimbus Sans" w:cs="Nimbus Sans"/>
          <w:b w:val="0"/>
          <w:i w:val="0"/>
          <w:color w:val="191D17"/>
          <w:sz w:val="21"/>
        </w:rPr>
        <w:t xml:space="preserve"> oferecer busca, filtros, compartilhamento e candidatura;</w:t>
      </w:r>
    </w:p>
    <w:p>
      <w:pPr>
        <w:pStyle w:val="ListBullet"/>
      </w:pPr>
      <w:r>
        <w:rPr>
          <w:rFonts w:ascii="Nimbus Sans" w:hAnsi="Nimbus Sans" w:eastAsia="Nimbus Sans" w:cs="Nimbus Sans"/>
          <w:b w:val="0"/>
          <w:i w:val="0"/>
          <w:color w:val="191D17"/>
          <w:sz w:val="21"/>
        </w:rPr>
        <w:t xml:space="preserve"> ordenar ou recomendar vagas por fatores como relevância da busca, localização, modalidade, recência, qualidade, completude, desempenho, preferências e patrocínio;</w:t>
      </w:r>
    </w:p>
    <w:p>
      <w:pPr>
        <w:pStyle w:val="ListBullet"/>
      </w:pPr>
      <w:r>
        <w:rPr>
          <w:rFonts w:ascii="Nimbus Sans" w:hAnsi="Nimbus Sans" w:eastAsia="Nimbus Sans" w:cs="Nimbus Sans"/>
          <w:b w:val="0"/>
          <w:i w:val="0"/>
          <w:color w:val="191D17"/>
          <w:sz w:val="21"/>
        </w:rPr>
        <w:t xml:space="preserve"> identificar resultados patrocinados;</w:t>
      </w:r>
    </w:p>
    <w:p>
      <w:pPr>
        <w:pStyle w:val="ListBullet"/>
      </w:pPr>
      <w:r>
        <w:rPr>
          <w:rFonts w:ascii="Nimbus Sans" w:hAnsi="Nimbus Sans" w:eastAsia="Nimbus Sans" w:cs="Nimbus Sans"/>
          <w:b w:val="0"/>
          <w:i w:val="0"/>
          <w:color w:val="191D17"/>
          <w:sz w:val="21"/>
        </w:rPr>
        <w:t xml:space="preserve"> encerrar, expirar, suspender, desindexar ou remover vagas;</w:t>
      </w:r>
    </w:p>
    <w:p>
      <w:pPr>
        <w:pStyle w:val="ListBullet"/>
      </w:pPr>
      <w:r>
        <w:rPr>
          <w:rFonts w:ascii="Nimbus Sans" w:hAnsi="Nimbus Sans" w:eastAsia="Nimbus Sans" w:cs="Nimbus Sans"/>
          <w:b w:val="0"/>
          <w:i w:val="0"/>
          <w:color w:val="191D17"/>
          <w:sz w:val="21"/>
        </w:rPr>
        <w:t xml:space="preserve"> exigir verificação da empresa e receber denúncias.</w:t>
      </w:r>
    </w:p>
    <w:p>
      <w:r>
        <w:rPr>
          <w:rFonts w:ascii="Nimbus Sans" w:hAnsi="Nimbus Sans" w:eastAsia="Nimbus Sans" w:cs="Nimbus Sans"/>
          <w:b w:val="0"/>
          <w:i w:val="0"/>
          <w:color w:val="191D17"/>
          <w:sz w:val="21"/>
        </w:rPr>
        <w:t xml:space="preserve">Vagas podem ser alteradas ou encerradas sem aviso individual. A JobForged não garante disponibilidade, legitimidade absoluta, contato, entrevista ou contratação. Ao mesmo tempo, manterá medidas proporcionais de prevenção e resposta e analisará denúncias enviadas a </w:t>
      </w:r>
      <w:r>
        <w:rPr>
          <w:rFonts w:ascii="Nimbus Sans" w:hAnsi="Nimbus Sans" w:eastAsia="Nimbus Sans" w:cs="Nimbus Sans"/>
          <w:b/>
          <w:i w:val="0"/>
          <w:color w:val="B42318"/>
          <w:sz w:val="21"/>
        </w:rPr>
        <w:t>[CANAL DE DENÚNCIA DE VAGAS]</w:t>
      </w:r>
      <w:r>
        <w:rPr>
          <w:rFonts w:ascii="Nimbus Sans" w:hAnsi="Nimbus Sans" w:eastAsia="Nimbus Sans" w:cs="Nimbus Sans"/>
          <w:b w:val="0"/>
          <w:i w:val="0"/>
          <w:color w:val="191D17"/>
          <w:sz w:val="21"/>
        </w:rPr>
        <w:t>.</w:t>
      </w:r>
    </w:p>
    <w:p>
      <w:pPr>
        <w:pStyle w:val="Heading1"/>
        <w:keepNext/>
      </w:pPr>
      <w:r>
        <w:rPr>
          <w:rFonts w:ascii="Nimbus Sans" w:hAnsi="Nimbus Sans" w:eastAsia="Nimbus Sans" w:cs="Nimbus Sans"/>
          <w:b w:val="0"/>
          <w:i w:val="0"/>
          <w:color w:val="20B2AA"/>
          <w:sz w:val="32"/>
        </w:rPr>
        <w:t>10. Conteúdo e moderação</w:t>
      </w:r>
    </w:p>
    <w:p>
      <w:r>
        <w:rPr>
          <w:rFonts w:ascii="Nimbus Sans" w:hAnsi="Nimbus Sans" w:eastAsia="Nimbus Sans" w:cs="Nimbus Sans"/>
          <w:b w:val="0"/>
          <w:i w:val="0"/>
          <w:color w:val="191D17"/>
          <w:sz w:val="21"/>
        </w:rPr>
        <w:t>“Conteúdo do Usuário” inclui vagas, marcas, currículos, documentos, mensagens, avaliações, imagens, respostas e dados enviados. A pessoa ou empresa mantém seus direitos e concede à JobForged licença não exclusiva, limitada, mundial e gratuita durante a relação para hospedar, reproduzir tecnicamente, adaptar formato, transmitir, indexar e exibir o conteúdo apenas para operar, proteger e melhorar o serviço conforme contrato e privacidade.</w:t>
      </w:r>
    </w:p>
    <w:p>
      <w:r>
        <w:rPr>
          <w:rFonts w:ascii="Nimbus Sans" w:hAnsi="Nimbus Sans" w:eastAsia="Nimbus Sans" w:cs="Nimbus Sans"/>
          <w:b w:val="0"/>
          <w:i w:val="0"/>
          <w:color w:val="191D17"/>
          <w:sz w:val="21"/>
        </w:rPr>
        <w:t>A JobForged poderá investigar, limitar, recusar, sinalizar, desindexar ou remover conteúdo que viole estes Termos, lei, direitos de terceiros, segurança ou integridade da plataforma. Medidas considerarão gravidade, urgência, reincidência e possibilidade de correção. Quando cabível, será oferecido canal de contestação.</w:t>
      </w:r>
    </w:p>
    <w:p>
      <w:r>
        <w:rPr>
          <w:rFonts w:ascii="Nimbus Sans" w:hAnsi="Nimbus Sans" w:eastAsia="Nimbus Sans" w:cs="Nimbus Sans"/>
          <w:b w:val="0"/>
          <w:i w:val="0"/>
          <w:color w:val="191D17"/>
          <w:sz w:val="21"/>
        </w:rPr>
        <w:t>Moderação não cria obrigação de monitoramento prévio universal nem garante detecção de todo abuso. Denúncias devem conter informações suficientes e não podem ser usadas de má-fé.</w:t>
      </w:r>
    </w:p>
    <w:p>
      <w:pPr>
        <w:pStyle w:val="Heading1"/>
        <w:keepNext/>
      </w:pPr>
      <w:r>
        <w:rPr>
          <w:rFonts w:ascii="Nimbus Sans" w:hAnsi="Nimbus Sans" w:eastAsia="Nimbus Sans" w:cs="Nimbus Sans"/>
          <w:b w:val="0"/>
          <w:i w:val="0"/>
          <w:color w:val="20B2AA"/>
          <w:sz w:val="32"/>
        </w:rPr>
        <w:t>11. Uso permitido e condutas proibidas</w:t>
      </w:r>
    </w:p>
    <w:p>
      <w:r>
        <w:rPr>
          <w:rFonts w:ascii="Nimbus Sans" w:hAnsi="Nimbus Sans" w:eastAsia="Nimbus Sans" w:cs="Nimbus Sans"/>
          <w:b w:val="0"/>
          <w:i w:val="0"/>
          <w:color w:val="191D17"/>
          <w:sz w:val="21"/>
        </w:rPr>
        <w:t>É proibido:</w:t>
      </w:r>
    </w:p>
    <w:p>
      <w:pPr>
        <w:pStyle w:val="ListBullet"/>
      </w:pPr>
      <w:r>
        <w:rPr>
          <w:rFonts w:ascii="Nimbus Sans" w:hAnsi="Nimbus Sans" w:eastAsia="Nimbus Sans" w:cs="Nimbus Sans"/>
          <w:b w:val="0"/>
          <w:i w:val="0"/>
          <w:color w:val="191D17"/>
          <w:sz w:val="21"/>
        </w:rPr>
        <w:t xml:space="preserve"> violar lei, direitos fundamentais, propriedade intelectual, privacidade ou confidencialidade;</w:t>
      </w:r>
    </w:p>
    <w:p>
      <w:pPr>
        <w:pStyle w:val="ListBullet"/>
      </w:pPr>
      <w:r>
        <w:rPr>
          <w:rFonts w:ascii="Nimbus Sans" w:hAnsi="Nimbus Sans" w:eastAsia="Nimbus Sans" w:cs="Nimbus Sans"/>
          <w:b w:val="0"/>
          <w:i w:val="0"/>
          <w:color w:val="191D17"/>
          <w:sz w:val="21"/>
        </w:rPr>
        <w:t xml:space="preserve"> discriminar por atributo protegido ou usar critérios não relacionados à função;</w:t>
      </w:r>
    </w:p>
    <w:p>
      <w:pPr>
        <w:pStyle w:val="ListBullet"/>
      </w:pPr>
      <w:r>
        <w:rPr>
          <w:rFonts w:ascii="Nimbus Sans" w:hAnsi="Nimbus Sans" w:eastAsia="Nimbus Sans" w:cs="Nimbus Sans"/>
          <w:b w:val="0"/>
          <w:i w:val="0"/>
          <w:color w:val="191D17"/>
          <w:sz w:val="21"/>
        </w:rPr>
        <w:t xml:space="preserve"> publicar fraude, golpe, pirâmide, trabalho ilegal, exploração, assédio ou conteúdo enganoso;</w:t>
      </w:r>
    </w:p>
    <w:p>
      <w:pPr>
        <w:pStyle w:val="ListBullet"/>
      </w:pPr>
      <w:r>
        <w:rPr>
          <w:rFonts w:ascii="Nimbus Sans" w:hAnsi="Nimbus Sans" w:eastAsia="Nimbus Sans" w:cs="Nimbus Sans"/>
          <w:b w:val="0"/>
          <w:i w:val="0"/>
          <w:color w:val="191D17"/>
          <w:sz w:val="21"/>
        </w:rPr>
        <w:t xml:space="preserve"> coletar dados além do necessário ou reutilizá-los para finalidade incompatível;</w:t>
      </w:r>
    </w:p>
    <w:p>
      <w:pPr>
        <w:pStyle w:val="ListBullet"/>
      </w:pPr>
      <w:r>
        <w:rPr>
          <w:rFonts w:ascii="Nimbus Sans" w:hAnsi="Nimbus Sans" w:eastAsia="Nimbus Sans" w:cs="Nimbus Sans"/>
          <w:b w:val="0"/>
          <w:i w:val="0"/>
          <w:color w:val="191D17"/>
          <w:sz w:val="21"/>
        </w:rPr>
        <w:t xml:space="preserve"> vender, ceder ou enriquecer banco de candidatos sem base legal e transparência;</w:t>
      </w:r>
    </w:p>
    <w:p>
      <w:pPr>
        <w:pStyle w:val="ListBullet"/>
      </w:pPr>
      <w:r>
        <w:rPr>
          <w:rFonts w:ascii="Nimbus Sans" w:hAnsi="Nimbus Sans" w:eastAsia="Nimbus Sans" w:cs="Nimbus Sans"/>
          <w:b w:val="0"/>
          <w:i w:val="0"/>
          <w:color w:val="191D17"/>
          <w:sz w:val="21"/>
        </w:rPr>
        <w:t xml:space="preserve"> tentar obter senha, token, credencial, código ou acesso não autorizado;</w:t>
      </w:r>
    </w:p>
    <w:p>
      <w:pPr>
        <w:pStyle w:val="ListBullet"/>
      </w:pPr>
      <w:r>
        <w:rPr>
          <w:rFonts w:ascii="Nimbus Sans" w:hAnsi="Nimbus Sans" w:eastAsia="Nimbus Sans" w:cs="Nimbus Sans"/>
          <w:b w:val="0"/>
          <w:i w:val="0"/>
          <w:color w:val="191D17"/>
          <w:sz w:val="21"/>
        </w:rPr>
        <w:t xml:space="preserve"> introduzir malware, sobrecarregar, contornar limites, fazer scraping abusivo ou interferir na segurança;</w:t>
      </w:r>
    </w:p>
    <w:p>
      <w:pPr>
        <w:pStyle w:val="ListBullet"/>
      </w:pPr>
      <w:r>
        <w:rPr>
          <w:rFonts w:ascii="Nimbus Sans" w:hAnsi="Nimbus Sans" w:eastAsia="Nimbus Sans" w:cs="Nimbus Sans"/>
          <w:b w:val="0"/>
          <w:i w:val="0"/>
          <w:color w:val="191D17"/>
          <w:sz w:val="21"/>
        </w:rPr>
        <w:t xml:space="preserve"> copiar, revender, sublicenciar, descompilar ou explorar a plataforma fora das permissões legais ou contratuais;</w:t>
      </w:r>
    </w:p>
    <w:p>
      <w:pPr>
        <w:pStyle w:val="ListBullet"/>
      </w:pPr>
      <w:r>
        <w:rPr>
          <w:rFonts w:ascii="Nimbus Sans" w:hAnsi="Nimbus Sans" w:eastAsia="Nimbus Sans" w:cs="Nimbus Sans"/>
          <w:b w:val="0"/>
          <w:i w:val="0"/>
          <w:color w:val="191D17"/>
          <w:sz w:val="21"/>
        </w:rPr>
        <w:t xml:space="preserve"> automatizar acesso de modo que prejudique o serviço ou viole instruções técnicas;</w:t>
      </w:r>
    </w:p>
    <w:p>
      <w:pPr>
        <w:pStyle w:val="ListBullet"/>
      </w:pPr>
      <w:r>
        <w:rPr>
          <w:rFonts w:ascii="Nimbus Sans" w:hAnsi="Nimbus Sans" w:eastAsia="Nimbus Sans" w:cs="Nimbus Sans"/>
          <w:b w:val="0"/>
          <w:i w:val="0"/>
          <w:color w:val="191D17"/>
          <w:sz w:val="21"/>
        </w:rPr>
        <w:t xml:space="preserve"> usar IA ou avaliações como justificativa automática para decisão discriminatória;</w:t>
      </w:r>
    </w:p>
    <w:p>
      <w:pPr>
        <w:pStyle w:val="ListBullet"/>
      </w:pPr>
      <w:r>
        <w:rPr>
          <w:rFonts w:ascii="Nimbus Sans" w:hAnsi="Nimbus Sans" w:eastAsia="Nimbus Sans" w:cs="Nimbus Sans"/>
          <w:b w:val="0"/>
          <w:i w:val="0"/>
          <w:color w:val="191D17"/>
          <w:sz w:val="21"/>
        </w:rPr>
        <w:t xml:space="preserve"> usar dados da plataforma para treinar modelos próprios sem autorização e base legal;</w:t>
      </w:r>
    </w:p>
    <w:p>
      <w:pPr>
        <w:pStyle w:val="ListBullet"/>
      </w:pPr>
      <w:r>
        <w:rPr>
          <w:rFonts w:ascii="Nimbus Sans" w:hAnsi="Nimbus Sans" w:eastAsia="Nimbus Sans" w:cs="Nimbus Sans"/>
          <w:b w:val="0"/>
          <w:i w:val="0"/>
          <w:color w:val="191D17"/>
          <w:sz w:val="21"/>
        </w:rPr>
        <w:t xml:space="preserve"> remover avisos de autoria, publicidade, privacidade ou segurança.</w:t>
      </w:r>
    </w:p>
    <w:p>
      <w:r>
        <w:rPr>
          <w:rFonts w:ascii="Nimbus Sans" w:hAnsi="Nimbus Sans" w:eastAsia="Nimbus Sans" w:cs="Nimbus Sans"/>
          <w:b w:val="0"/>
          <w:i w:val="0"/>
          <w:color w:val="191D17"/>
          <w:sz w:val="21"/>
        </w:rPr>
        <w:t>Integrações e APIs devem respeitar documentação, limites, credenciais, escopo e finalidade autorizada.</w:t>
      </w:r>
    </w:p>
    <w:p>
      <w:pPr>
        <w:pStyle w:val="Heading1"/>
        <w:keepNext/>
      </w:pPr>
      <w:r>
        <w:rPr>
          <w:rFonts w:ascii="Nimbus Sans" w:hAnsi="Nimbus Sans" w:eastAsia="Nimbus Sans" w:cs="Nimbus Sans"/>
          <w:b w:val="0"/>
          <w:i w:val="0"/>
          <w:color w:val="20B2AA"/>
          <w:sz w:val="32"/>
        </w:rPr>
        <w:t>12. Inteligência artificial e automação</w:t>
      </w:r>
    </w:p>
    <w:p>
      <w:r>
        <w:rPr>
          <w:rFonts w:ascii="Nimbus Sans" w:hAnsi="Nimbus Sans" w:eastAsia="Nimbus Sans" w:cs="Nimbus Sans"/>
          <w:b w:val="0"/>
          <w:i w:val="0"/>
          <w:color w:val="191D17"/>
          <w:sz w:val="21"/>
        </w:rPr>
        <w:t>Recursos de IA e automação são ferramentas de apoio. Podem extrair, resumir, sugerir, relacionar evidências e executar regras configuradas, mas não conhecem todo o contexto e podem errar.</w:t>
      </w:r>
    </w:p>
    <w:p>
      <w:r>
        <w:rPr>
          <w:rFonts w:ascii="Nimbus Sans" w:hAnsi="Nimbus Sans" w:eastAsia="Nimbus Sans" w:cs="Nimbus Sans"/>
          <w:b w:val="0"/>
          <w:i w:val="0"/>
          <w:color w:val="191D17"/>
          <w:sz w:val="21"/>
        </w:rPr>
        <w:t>Empresas devem validar dados de entrada, critérios, mensagens, resultados e efeitos; manter revisão humana para decisões relevantes; documentar justificativa; monitorar viés e corrigir erros. Não devem basear decisão exclusivamente em característica protegida, inferência de personalidade, emoção, saúde mental ou outro sinal inadequado.</w:t>
      </w:r>
    </w:p>
    <w:p>
      <w:r>
        <w:rPr>
          <w:rFonts w:ascii="Nimbus Sans" w:hAnsi="Nimbus Sans" w:eastAsia="Nimbus Sans" w:cs="Nimbus Sans"/>
          <w:b w:val="0"/>
          <w:i w:val="0"/>
          <w:color w:val="191D17"/>
          <w:sz w:val="21"/>
        </w:rPr>
        <w:t>A JobForged não garante precisão integral de saída de IA. Isso não afasta a obrigação de projetar, testar, monitorar e corrigir recursos próprios de forma diligente. Quando houver decisão unicamente automatizada que afete interesses, serão respeitados direitos legais de informação e revisão, com cooperação da empresa responsável.</w:t>
      </w:r>
    </w:p>
    <w:p>
      <w:pPr>
        <w:pStyle w:val="Heading1"/>
        <w:keepNext/>
      </w:pPr>
      <w:r>
        <w:rPr>
          <w:rFonts w:ascii="Nimbus Sans" w:hAnsi="Nimbus Sans" w:eastAsia="Nimbus Sans" w:cs="Nimbus Sans"/>
          <w:b w:val="0"/>
          <w:i w:val="0"/>
          <w:color w:val="20B2AA"/>
          <w:sz w:val="32"/>
        </w:rPr>
        <w:t>13. Comunicações, WhatsApp e integrações</w:t>
      </w:r>
    </w:p>
    <w:p>
      <w:r>
        <w:rPr>
          <w:rFonts w:ascii="Nimbus Sans" w:hAnsi="Nimbus Sans" w:eastAsia="Nimbus Sans" w:cs="Nimbus Sans"/>
          <w:b w:val="0"/>
          <w:i w:val="0"/>
          <w:color w:val="191D17"/>
          <w:sz w:val="21"/>
        </w:rPr>
        <w:t>Recursos de e-mail, WhatsApp, calendário, videoconferência, automação, pagamentos e outros terceiros dependem de disponibilidade, políticas, limites e autorização desses provedores. A empresa deve obter opt-in ou outra base legal, oferecer opt-out quando aplicável e respeitar horários, frequência e conteúdo.</w:t>
      </w:r>
    </w:p>
    <w:p>
      <w:r>
        <w:rPr>
          <w:rFonts w:ascii="Nimbus Sans" w:hAnsi="Nimbus Sans" w:eastAsia="Nimbus Sans" w:cs="Nimbus Sans"/>
          <w:b w:val="0"/>
          <w:i w:val="0"/>
          <w:color w:val="191D17"/>
          <w:sz w:val="21"/>
        </w:rPr>
        <w:t>A JobForged poderá suspender integração que cause abuso, falha, custo anormal, risco ou violação. Mudanças do terceiro podem afetar recursos sem controle integral da JobForged. Sempre que razoável, serão fornecidas informações e alternativas.</w:t>
      </w:r>
    </w:p>
    <w:p>
      <w:pPr>
        <w:pStyle w:val="Heading1"/>
        <w:keepNext/>
      </w:pPr>
      <w:r>
        <w:rPr>
          <w:rFonts w:ascii="Nimbus Sans" w:hAnsi="Nimbus Sans" w:eastAsia="Nimbus Sans" w:cs="Nimbus Sans"/>
          <w:b w:val="0"/>
          <w:i w:val="0"/>
          <w:color w:val="20B2AA"/>
          <w:sz w:val="32"/>
        </w:rPr>
        <w:t>14. Publicidade, patrocínio e cookies</w:t>
      </w:r>
    </w:p>
    <w:p>
      <w:r>
        <w:rPr>
          <w:rFonts w:ascii="Nimbus Sans" w:hAnsi="Nimbus Sans" w:eastAsia="Nimbus Sans" w:cs="Nimbus Sans"/>
          <w:b w:val="0"/>
          <w:i w:val="0"/>
          <w:color w:val="191D17"/>
          <w:sz w:val="21"/>
        </w:rPr>
        <w:t>A JobForged poderá inserir anúncios, vagas patrocinadas, conteúdo comercial e links de parceiros. Publicidade paga será claramente identificada. A ordem orgânica não deverá ser apresentada como neutra quando houver pagamento influenciando destaque.</w:t>
      </w:r>
    </w:p>
    <w:p>
      <w:r>
        <w:rPr>
          <w:rFonts w:ascii="Nimbus Sans" w:hAnsi="Nimbus Sans" w:eastAsia="Nimbus Sans" w:cs="Nimbus Sans"/>
          <w:b w:val="0"/>
          <w:i w:val="0"/>
          <w:color w:val="191D17"/>
          <w:sz w:val="21"/>
        </w:rPr>
        <w:t>O anunciante é responsável pela veracidade, legalidade e entrega de sua oferta. A exibição não representa endosso, salvo declaração expressa. O acesso a site de terceiro fica sujeito aos termos dele.</w:t>
      </w:r>
    </w:p>
    <w:p>
      <w:r>
        <w:rPr>
          <w:rFonts w:ascii="Nimbus Sans" w:hAnsi="Nimbus Sans" w:eastAsia="Nimbus Sans" w:cs="Nimbus Sans"/>
          <w:b w:val="0"/>
          <w:i w:val="0"/>
          <w:color w:val="191D17"/>
          <w:sz w:val="21"/>
        </w:rPr>
        <w:t>Cookies necessários podem ser usados para operação e segurança. Cookies funcionais, analíticos e publicitários não necessários serão tratados conforme a Política de Privacidade e as escolhas aplicáveis. Publicidade personalizada dependerá de base legal adequada e deverá permitir revogação simples.</w:t>
      </w:r>
    </w:p>
    <w:p>
      <w:pPr>
        <w:pStyle w:val="Heading1"/>
        <w:keepNext/>
      </w:pPr>
      <w:r>
        <w:rPr>
          <w:rFonts w:ascii="Nimbus Sans" w:hAnsi="Nimbus Sans" w:eastAsia="Nimbus Sans" w:cs="Nimbus Sans"/>
          <w:b w:val="0"/>
          <w:i w:val="0"/>
          <w:color w:val="20B2AA"/>
          <w:sz w:val="32"/>
        </w:rPr>
        <w:t>15. Propriedade intelectual e marcas</w:t>
      </w:r>
    </w:p>
    <w:p>
      <w:r>
        <w:rPr>
          <w:rFonts w:ascii="Nimbus Sans" w:hAnsi="Nimbus Sans" w:eastAsia="Nimbus Sans" w:cs="Nimbus Sans"/>
          <w:b w:val="0"/>
          <w:i w:val="0"/>
          <w:color w:val="191D17"/>
          <w:sz w:val="21"/>
        </w:rPr>
        <w:t>A plataforma, software, interfaces, código, documentação, bases estruturadas, modelos, design, marcas e conteúdos próprios pertencem à JobForged ou licenciantes. Estes Termos concedem direito limitado, revogável, não exclusivo, não transferível e restrito à finalidade contratada.</w:t>
      </w:r>
    </w:p>
    <w:p>
      <w:r>
        <w:rPr>
          <w:rFonts w:ascii="Nimbus Sans" w:hAnsi="Nimbus Sans" w:eastAsia="Nimbus Sans" w:cs="Nimbus Sans"/>
          <w:b w:val="0"/>
          <w:i w:val="0"/>
          <w:color w:val="191D17"/>
          <w:sz w:val="21"/>
        </w:rPr>
        <w:t>O uso das marcas “JobForged”, “Inside Forged” ou de clientes fora da operação exige autorização. A empresa cliente autoriza o uso de sua marca nas páginas e vagas que configurar e, somente se aceitar separadamente, em case, lista de clientes ou marketing.</w:t>
      </w:r>
    </w:p>
    <w:p>
      <w:r>
        <w:rPr>
          <w:rFonts w:ascii="Nimbus Sans" w:hAnsi="Nimbus Sans" w:eastAsia="Nimbus Sans" w:cs="Nimbus Sans"/>
          <w:b w:val="0"/>
          <w:i w:val="0"/>
          <w:color w:val="191D17"/>
          <w:sz w:val="21"/>
        </w:rPr>
        <w:t>Sugestões e feedback poderão ser usados para melhoria sem obrigação de remuneração, desde que não revelem informação confidencial nem identifiquem a pessoa de forma incompatível.</w:t>
      </w:r>
    </w:p>
    <w:p>
      <w:pPr>
        <w:pStyle w:val="Heading1"/>
        <w:keepNext/>
      </w:pPr>
      <w:r>
        <w:rPr>
          <w:rFonts w:ascii="Nimbus Sans" w:hAnsi="Nimbus Sans" w:eastAsia="Nimbus Sans" w:cs="Nimbus Sans"/>
          <w:b w:val="0"/>
          <w:i w:val="0"/>
          <w:color w:val="20B2AA"/>
          <w:sz w:val="32"/>
        </w:rPr>
        <w:t>16. Confidencialidade</w:t>
      </w:r>
    </w:p>
    <w:p>
      <w:r>
        <w:rPr>
          <w:rFonts w:ascii="Nimbus Sans" w:hAnsi="Nimbus Sans" w:eastAsia="Nimbus Sans" w:cs="Nimbus Sans"/>
          <w:b w:val="0"/>
          <w:i w:val="0"/>
          <w:color w:val="191D17"/>
          <w:sz w:val="21"/>
        </w:rPr>
        <w:t>Informações não públicas sobre negócio, candidatos, produto, segurança, preços, tecnologia e clientes devem ser protegidas e usadas apenas para a relação. A obrigação não alcança informação comprovadamente pública sem violação, já conhecida de forma legítima, recebida licitamente de terceiro ou desenvolvida de forma independente.</w:t>
      </w:r>
    </w:p>
    <w:p>
      <w:r>
        <w:rPr>
          <w:rFonts w:ascii="Nimbus Sans" w:hAnsi="Nimbus Sans" w:eastAsia="Nimbus Sans" w:cs="Nimbus Sans"/>
          <w:b w:val="0"/>
          <w:i w:val="0"/>
          <w:color w:val="191D17"/>
          <w:sz w:val="21"/>
        </w:rPr>
        <w:t>Divulgação exigida por autoridade deverá, quando legalmente permitido, ser comunicada previamente e limitada ao necessário. Contratos específicos podem ampliar as regras de confidencialidade.</w:t>
      </w:r>
    </w:p>
    <w:p>
      <w:pPr>
        <w:pStyle w:val="Heading1"/>
        <w:keepNext/>
      </w:pPr>
      <w:r>
        <w:rPr>
          <w:rFonts w:ascii="Nimbus Sans" w:hAnsi="Nimbus Sans" w:eastAsia="Nimbus Sans" w:cs="Nimbus Sans"/>
          <w:b w:val="0"/>
          <w:i w:val="0"/>
          <w:color w:val="20B2AA"/>
          <w:sz w:val="32"/>
        </w:rPr>
        <w:t>17. Planos, preços, cobrança e tributos</w:t>
      </w:r>
    </w:p>
    <w:p>
      <w:r>
        <w:rPr>
          <w:rFonts w:ascii="Nimbus Sans" w:hAnsi="Nimbus Sans" w:eastAsia="Nimbus Sans" w:cs="Nimbus Sans"/>
          <w:b w:val="0"/>
          <w:i w:val="0"/>
          <w:color w:val="191D17"/>
          <w:sz w:val="21"/>
        </w:rPr>
        <w:t>Planos, limites, usuários, vagas, armazenamento, mensagens, créditos, IA, implantação, suporte, preço, reajuste, vencimento, impostos e cancelamento serão os indicados na proposta ou tela de contratação. Este documento não cria preço, gratuidade ou funcionalidade não informada.</w:t>
      </w:r>
    </w:p>
    <w:p>
      <w:r>
        <w:rPr>
          <w:rFonts w:ascii="Nimbus Sans" w:hAnsi="Nimbus Sans" w:eastAsia="Nimbus Sans" w:cs="Nimbus Sans"/>
          <w:b w:val="0"/>
          <w:i w:val="0"/>
          <w:color w:val="191D17"/>
          <w:sz w:val="21"/>
        </w:rPr>
        <w:t>Cobranças recorrentes, renovação automática e testes gratuitos deverão ser apresentados com clareza antes da contratação. Alteração de preço seguirá o aviso e prazo previstos no contrato e na lei. O não pagamento poderá gerar limitação ou suspensão proporcional após aviso, ressalvadas obrigações legais e acesso necessário à regularização.</w:t>
      </w:r>
    </w:p>
    <w:p>
      <w:r>
        <w:rPr>
          <w:rFonts w:ascii="Nimbus Sans" w:hAnsi="Nimbus Sans" w:eastAsia="Nimbus Sans" w:cs="Nimbus Sans"/>
          <w:b w:val="0"/>
          <w:i w:val="0"/>
          <w:color w:val="191D17"/>
          <w:sz w:val="21"/>
        </w:rPr>
        <w:t>Créditos, franquias e consumo variável, se adotados, devem ter unidade, validade, regra de excedente e consulta de saldo transparentes. Tributos serão tratados conforme documento fiscal e legislação.</w:t>
      </w:r>
    </w:p>
    <w:p>
      <w:pPr>
        <w:pStyle w:val="Heading1"/>
        <w:keepNext/>
      </w:pPr>
      <w:r>
        <w:rPr>
          <w:rFonts w:ascii="Nimbus Sans" w:hAnsi="Nimbus Sans" w:eastAsia="Nimbus Sans" w:cs="Nimbus Sans"/>
          <w:b w:val="0"/>
          <w:i w:val="0"/>
          <w:color w:val="20B2AA"/>
          <w:sz w:val="32"/>
        </w:rPr>
        <w:t>18. Disponibilidade, manutenção e suporte</w:t>
      </w:r>
    </w:p>
    <w:p>
      <w:r>
        <w:rPr>
          <w:rFonts w:ascii="Nimbus Sans" w:hAnsi="Nimbus Sans" w:eastAsia="Nimbus Sans" w:cs="Nimbus Sans"/>
          <w:b w:val="0"/>
          <w:i w:val="0"/>
          <w:color w:val="191D17"/>
          <w:sz w:val="21"/>
        </w:rPr>
        <w:t>A JobForged buscará disponibilidade e segurança compatíveis com o plano, mas serviços digitais podem sofrer manutenção, falha, indisponibilidade de terceiros, ataque, caso fortuito ou força maior. Não há garantia de operação ininterrupta ou livre de erro, salvo SLA expresso.</w:t>
      </w:r>
    </w:p>
    <w:p>
      <w:r>
        <w:rPr>
          <w:rFonts w:ascii="Nimbus Sans" w:hAnsi="Nimbus Sans" w:eastAsia="Nimbus Sans" w:cs="Nimbus Sans"/>
          <w:b w:val="0"/>
          <w:i w:val="0"/>
          <w:color w:val="191D17"/>
          <w:sz w:val="21"/>
        </w:rPr>
        <w:t>Manutenções programadas relevantes serão comunicadas quando possível. Incidentes serão tratados conforme prioridade e suporte contratado. Essa cláusula não autoriza negligência nem elimina obrigações de continuidade, segurança ou reparação previstas em lei.</w:t>
      </w:r>
    </w:p>
    <w:p>
      <w:pPr>
        <w:pStyle w:val="Heading1"/>
        <w:keepNext/>
      </w:pPr>
      <w:r>
        <w:rPr>
          <w:rFonts w:ascii="Nimbus Sans" w:hAnsi="Nimbus Sans" w:eastAsia="Nimbus Sans" w:cs="Nimbus Sans"/>
          <w:b w:val="0"/>
          <w:i w:val="0"/>
          <w:color w:val="20B2AA"/>
          <w:sz w:val="32"/>
        </w:rPr>
        <w:t>19. Suspensão e encerramento</w:t>
      </w:r>
    </w:p>
    <w:p>
      <w:r>
        <w:rPr>
          <w:rFonts w:ascii="Nimbus Sans" w:hAnsi="Nimbus Sans" w:eastAsia="Nimbus Sans" w:cs="Nimbus Sans"/>
          <w:b w:val="0"/>
          <w:i w:val="0"/>
          <w:color w:val="191D17"/>
          <w:sz w:val="21"/>
        </w:rPr>
        <w:t>A JobForged poderá suspender ou limitar conta ou conteúdo quando necessário para segurança, investigação, ordem legal, não pagamento, risco a terceiros ou violação destes Termos. Medidas urgentes podem ser imediatas; nos demais casos, haverá aviso e oportunidade razoável de correção.</w:t>
      </w:r>
    </w:p>
    <w:p>
      <w:r>
        <w:rPr>
          <w:rFonts w:ascii="Nimbus Sans" w:hAnsi="Nimbus Sans" w:eastAsia="Nimbus Sans" w:cs="Nimbus Sans"/>
          <w:b w:val="0"/>
          <w:i w:val="0"/>
          <w:color w:val="191D17"/>
          <w:sz w:val="21"/>
        </w:rPr>
        <w:t>A empresa poderá encerrar conforme contrato. No término, acesso, exportação, retenção, eliminação e cobrança seguirão proposta, acordo de dados, Política de Privacidade e lei. Dados sujeitos a obrigação, litígio, fraude ou backup podem permanecer protegidos pelo período aplicável.</w:t>
      </w:r>
    </w:p>
    <w:p>
      <w:r>
        <w:rPr>
          <w:rFonts w:ascii="Nimbus Sans" w:hAnsi="Nimbus Sans" w:eastAsia="Nimbus Sans" w:cs="Nimbus Sans"/>
          <w:b w:val="0"/>
          <w:i w:val="0"/>
          <w:color w:val="191D17"/>
          <w:sz w:val="21"/>
        </w:rPr>
        <w:t>Cláusulas de propriedade, confidencialidade, responsabilidade, pagamentos vencidos, resolução de disputas e proteção de dados sobrevivem quando sua natureza exigir.</w:t>
      </w:r>
    </w:p>
    <w:p>
      <w:pPr>
        <w:pStyle w:val="Heading1"/>
        <w:keepNext/>
      </w:pPr>
      <w:r>
        <w:rPr>
          <w:rFonts w:ascii="Nimbus Sans" w:hAnsi="Nimbus Sans" w:eastAsia="Nimbus Sans" w:cs="Nimbus Sans"/>
          <w:b w:val="0"/>
          <w:i w:val="0"/>
          <w:color w:val="20B2AA"/>
          <w:sz w:val="32"/>
        </w:rPr>
        <w:t>20. Garantias e limites de responsabilidade</w:t>
      </w:r>
    </w:p>
    <w:p>
      <w:r>
        <w:rPr>
          <w:rFonts w:ascii="Nimbus Sans" w:hAnsi="Nimbus Sans" w:eastAsia="Nimbus Sans" w:cs="Nimbus Sans"/>
          <w:b w:val="0"/>
          <w:i w:val="0"/>
          <w:color w:val="191D17"/>
          <w:sz w:val="21"/>
        </w:rPr>
        <w:t>Os serviços são fornecidos dentro do escopo contratado e do estágio informado. A JobForged não garante resultado de recrutamento, volume de candidatos, legitimidade absoluta de todo conteúdo de terceiro, contratação, economia específica, aderência perfeita ou ausência total de falhas.</w:t>
      </w:r>
    </w:p>
    <w:p>
      <w:r>
        <w:rPr>
          <w:rFonts w:ascii="Nimbus Sans" w:hAnsi="Nimbus Sans" w:eastAsia="Nimbus Sans" w:cs="Nimbus Sans"/>
          <w:b w:val="0"/>
          <w:i w:val="0"/>
          <w:color w:val="191D17"/>
          <w:sz w:val="21"/>
        </w:rPr>
        <w:t>Na máxima extensão permitida por lei, cada parte responde por danos diretos comprovados que causar por descumprimento, ato ilícito ou falha sob seu controle. A JobForged não responde por conteúdo, critérios, decisões, ofertas, relações de trabalho ou uso ilegal praticados por empresa, candidato, anunciante ou terceiro, nem por falha exclusiva de terceiro fora de seu controle razoável.</w:t>
      </w:r>
    </w:p>
    <w:p>
      <w:r>
        <w:rPr>
          <w:rFonts w:ascii="Nimbus Sans" w:hAnsi="Nimbus Sans" w:eastAsia="Nimbus Sans" w:cs="Nimbus Sans"/>
          <w:b w:val="0"/>
          <w:i w:val="0"/>
          <w:color w:val="191D17"/>
          <w:sz w:val="21"/>
        </w:rPr>
        <w:t>Danos indiretos, lucros cessantes, perda de oportunidade, dados ou reputação somente serão excluídos ou limitados quando a lei e o contrato permitirem e quando não decorrerem de ato próprio indenizável. Eventual limite financeiro B2B deverá constar do contrato comercial, ser proporcional e não poderá afastar responsabilidade por dolo, culpa grave, violação de direitos obrigatórios, obrigações legais não limitáveis ou hipóteses em que a limitação seja nula.</w:t>
      </w:r>
    </w:p>
    <w:p>
      <w:r>
        <w:rPr>
          <w:rFonts w:ascii="Nimbus Sans" w:hAnsi="Nimbus Sans" w:eastAsia="Nimbus Sans" w:cs="Nimbus Sans"/>
          <w:b w:val="0"/>
          <w:i w:val="0"/>
          <w:color w:val="191D17"/>
          <w:sz w:val="21"/>
        </w:rPr>
        <w:t>Nenhuma cláusula destes Termos exclui direitos do consumidor, deveres de proteção de dados, responsabilidade por segurança própria ou outras garantias que a lei torne obrigatórias. Se uma limitação for inválida, será aplicada apenas até o máximo permitido, preservado o restante.</w:t>
      </w:r>
    </w:p>
    <w:p>
      <w:pPr>
        <w:pStyle w:val="Heading1"/>
        <w:keepNext/>
      </w:pPr>
      <w:r>
        <w:rPr>
          <w:rFonts w:ascii="Nimbus Sans" w:hAnsi="Nimbus Sans" w:eastAsia="Nimbus Sans" w:cs="Nimbus Sans"/>
          <w:b w:val="0"/>
          <w:i w:val="0"/>
          <w:color w:val="20B2AA"/>
          <w:sz w:val="32"/>
        </w:rPr>
        <w:t>21. Indenização em relações empresariais</w:t>
      </w:r>
    </w:p>
    <w:p>
      <w:r>
        <w:rPr>
          <w:rFonts w:ascii="Nimbus Sans" w:hAnsi="Nimbus Sans" w:eastAsia="Nimbus Sans" w:cs="Nimbus Sans"/>
          <w:b w:val="0"/>
          <w:i w:val="0"/>
          <w:color w:val="191D17"/>
          <w:sz w:val="21"/>
        </w:rPr>
        <w:t>Quando a contratante for pessoa jurídica e a lei permitir, ela deverá reparar prejuízos diretos, custos e condenações decorrentes de conteúdo, instrução, importação, critério, mensagem, uso de dados ou conduta ilícita que lhe seja imputável, desde que seja notificada, possa participar da defesa e não responda por ato da JobForged.</w:t>
      </w:r>
    </w:p>
    <w:p>
      <w:r>
        <w:rPr>
          <w:rFonts w:ascii="Nimbus Sans" w:hAnsi="Nimbus Sans" w:eastAsia="Nimbus Sans" w:cs="Nimbus Sans"/>
          <w:b w:val="0"/>
          <w:i w:val="0"/>
          <w:color w:val="191D17"/>
          <w:sz w:val="21"/>
        </w:rPr>
        <w:t>Essa obrigação será proporcional à responsabilidade e não se aplica automaticamente a consumidores ou pessoas candidatas. A JobForged mantém dever equivalente de reparar danos diretamente causados por seu descumprimento, nos limites legais e contratuais válidos.</w:t>
      </w:r>
    </w:p>
    <w:p>
      <w:pPr>
        <w:pStyle w:val="Heading1"/>
        <w:keepNext/>
      </w:pPr>
      <w:r>
        <w:rPr>
          <w:rFonts w:ascii="Nimbus Sans" w:hAnsi="Nimbus Sans" w:eastAsia="Nimbus Sans" w:cs="Nimbus Sans"/>
          <w:b w:val="0"/>
          <w:i w:val="0"/>
          <w:color w:val="20B2AA"/>
          <w:sz w:val="32"/>
        </w:rPr>
        <w:t>22. Proteção de dados e segurança</w:t>
      </w:r>
    </w:p>
    <w:p>
      <w:r>
        <w:rPr>
          <w:rFonts w:ascii="Nimbus Sans" w:hAnsi="Nimbus Sans" w:eastAsia="Nimbus Sans" w:cs="Nimbus Sans"/>
          <w:b w:val="0"/>
          <w:i w:val="0"/>
          <w:color w:val="191D17"/>
          <w:sz w:val="21"/>
        </w:rPr>
        <w:t>O tratamento de dados segue a Política de Privacidade e, para clientes empresariais, o acordo de tratamento de dados. As partes devem definir papéis, instruções, bases legais, retenção, suboperadores, transferências, direitos, incidentes e eliminação.</w:t>
      </w:r>
    </w:p>
    <w:p>
      <w:r>
        <w:rPr>
          <w:rFonts w:ascii="Nimbus Sans" w:hAnsi="Nimbus Sans" w:eastAsia="Nimbus Sans" w:cs="Nimbus Sans"/>
          <w:b w:val="0"/>
          <w:i w:val="0"/>
          <w:color w:val="191D17"/>
          <w:sz w:val="21"/>
        </w:rPr>
        <w:t xml:space="preserve">Usuários devem comunicar suspeitas de incidente a </w:t>
      </w:r>
      <w:r>
        <w:rPr>
          <w:rFonts w:ascii="Nimbus Sans" w:hAnsi="Nimbus Sans" w:eastAsia="Nimbus Sans" w:cs="Nimbus Sans"/>
          <w:b/>
          <w:i w:val="0"/>
          <w:color w:val="B42318"/>
          <w:sz w:val="21"/>
        </w:rPr>
        <w:t>[E-MAIL DE SEGURANÇA OU PRIVACIDADE]</w:t>
      </w:r>
      <w:r>
        <w:rPr>
          <w:rFonts w:ascii="Nimbus Sans" w:hAnsi="Nimbus Sans" w:eastAsia="Nimbus Sans" w:cs="Nimbus Sans"/>
          <w:b w:val="0"/>
          <w:i w:val="0"/>
          <w:color w:val="191D17"/>
          <w:sz w:val="21"/>
        </w:rPr>
        <w:t xml:space="preserve"> e não divulgar vulnerabilidade antes de permitir investigação razoável. A JobForged poderá manter política de divulgação responsável em </w:t>
      </w:r>
      <w:r>
        <w:rPr>
          <w:rFonts w:ascii="Nimbus Sans" w:hAnsi="Nimbus Sans" w:eastAsia="Nimbus Sans" w:cs="Nimbus Sans"/>
          <w:b/>
          <w:i w:val="0"/>
          <w:color w:val="B42318"/>
          <w:sz w:val="21"/>
        </w:rPr>
        <w:t>[URL DA POLÍTICA DE SEGURANÇA]</w:t>
      </w:r>
      <w:r>
        <w:rPr>
          <w:rFonts w:ascii="Nimbus Sans" w:hAnsi="Nimbus Sans" w:eastAsia="Nimbus Sans" w:cs="Nimbus Sans"/>
          <w:b w:val="0"/>
          <w:i w:val="0"/>
          <w:color w:val="191D17"/>
          <w:sz w:val="21"/>
        </w:rPr>
        <w:t>.</w:t>
      </w:r>
    </w:p>
    <w:p>
      <w:pPr>
        <w:pStyle w:val="Heading1"/>
        <w:keepNext/>
      </w:pPr>
      <w:r>
        <w:rPr>
          <w:rFonts w:ascii="Nimbus Sans" w:hAnsi="Nimbus Sans" w:eastAsia="Nimbus Sans" w:cs="Nimbus Sans"/>
          <w:b w:val="0"/>
          <w:i w:val="0"/>
          <w:color w:val="20B2AA"/>
          <w:sz w:val="32"/>
        </w:rPr>
        <w:t>23. Alterações dos Termos</w:t>
      </w:r>
    </w:p>
    <w:p>
      <w:r>
        <w:rPr>
          <w:rFonts w:ascii="Nimbus Sans" w:hAnsi="Nimbus Sans" w:eastAsia="Nimbus Sans" w:cs="Nimbus Sans"/>
          <w:b w:val="0"/>
          <w:i w:val="0"/>
          <w:color w:val="191D17"/>
          <w:sz w:val="21"/>
        </w:rPr>
        <w:t>Os Termos poderão ser atualizados por mudança legal, regulatória, de segurança ou de produto. Alterações materiais serão comunicadas com antecedência razoável e indicarão data de vigência. Quando exigida nova aceitação, o acesso a recursos afetados poderá depender dela.</w:t>
      </w:r>
    </w:p>
    <w:p>
      <w:r>
        <w:rPr>
          <w:rFonts w:ascii="Nimbus Sans" w:hAnsi="Nimbus Sans" w:eastAsia="Nimbus Sans" w:cs="Nimbus Sans"/>
          <w:b w:val="0"/>
          <w:i w:val="0"/>
          <w:color w:val="191D17"/>
          <w:sz w:val="21"/>
        </w:rPr>
        <w:t xml:space="preserve">Alterações não serão retroativas para retirar direito já adquirido. Versões anteriores permanecerão disponíveis em </w:t>
      </w:r>
      <w:r>
        <w:rPr>
          <w:rFonts w:ascii="Nimbus Sans" w:hAnsi="Nimbus Sans" w:eastAsia="Nimbus Sans" w:cs="Nimbus Sans"/>
          <w:b/>
          <w:i w:val="0"/>
          <w:color w:val="B42318"/>
          <w:sz w:val="21"/>
        </w:rPr>
        <w:t>[URL OU REPOSITÓRIO DE VERSÕES]</w:t>
      </w:r>
      <w:r>
        <w:rPr>
          <w:rFonts w:ascii="Nimbus Sans" w:hAnsi="Nimbus Sans" w:eastAsia="Nimbus Sans" w:cs="Nimbus Sans"/>
          <w:b w:val="0"/>
          <w:i w:val="0"/>
          <w:color w:val="191D17"/>
          <w:sz w:val="21"/>
        </w:rPr>
        <w:t>.</w:t>
      </w:r>
    </w:p>
    <w:p>
      <w:pPr>
        <w:pStyle w:val="Heading1"/>
        <w:keepNext/>
      </w:pPr>
      <w:r>
        <w:rPr>
          <w:rFonts w:ascii="Nimbus Sans" w:hAnsi="Nimbus Sans" w:eastAsia="Nimbus Sans" w:cs="Nimbus Sans"/>
          <w:b w:val="0"/>
          <w:i w:val="0"/>
          <w:color w:val="20B2AA"/>
          <w:sz w:val="32"/>
        </w:rPr>
        <w:t>24. Lei aplicável e solução de conflitos</w:t>
      </w:r>
    </w:p>
    <w:p>
      <w:r>
        <w:rPr>
          <w:rFonts w:ascii="Nimbus Sans" w:hAnsi="Nimbus Sans" w:eastAsia="Nimbus Sans" w:cs="Nimbus Sans"/>
          <w:b w:val="0"/>
          <w:i w:val="0"/>
          <w:color w:val="191D17"/>
          <w:sz w:val="21"/>
        </w:rPr>
        <w:t>Aplica-se a legislação da República Federativa do Brasil. As partes buscarão solução pelo suporte e negociação de boa-fé antes de demanda, sem impedir medidas urgentes nem acesso a órgãos competentes.</w:t>
      </w:r>
    </w:p>
    <w:p>
      <w:r>
        <w:rPr>
          <w:rFonts w:ascii="Nimbus Sans" w:hAnsi="Nimbus Sans" w:eastAsia="Nimbus Sans" w:cs="Nimbus Sans"/>
          <w:b w:val="0"/>
          <w:i w:val="0"/>
          <w:color w:val="191D17"/>
          <w:sz w:val="21"/>
        </w:rPr>
        <w:t xml:space="preserve">Em relações de consumo, será preservado o foro do domicílio do consumidor e demais proteções obrigatórias. Em contratos empresariais sem regra imperativa diversa, fica eleito o foro de </w:t>
      </w:r>
      <w:r>
        <w:rPr>
          <w:rFonts w:ascii="Nimbus Sans" w:hAnsi="Nimbus Sans" w:eastAsia="Nimbus Sans" w:cs="Nimbus Sans"/>
          <w:b/>
          <w:i w:val="0"/>
          <w:color w:val="B42318"/>
          <w:sz w:val="21"/>
        </w:rPr>
        <w:t>[FORO DA SEDE, QUANDO JURIDICAMENTE APLICÁVEL]</w:t>
      </w:r>
      <w:r>
        <w:rPr>
          <w:rFonts w:ascii="Nimbus Sans" w:hAnsi="Nimbus Sans" w:eastAsia="Nimbus Sans" w:cs="Nimbus Sans"/>
          <w:b w:val="0"/>
          <w:i w:val="0"/>
          <w:color w:val="191D17"/>
          <w:sz w:val="21"/>
        </w:rPr>
        <w:t>, com renúncia a outro, conforme permitido.</w:t>
      </w:r>
    </w:p>
    <w:p>
      <w:pPr>
        <w:pStyle w:val="Heading1"/>
        <w:keepNext/>
      </w:pPr>
      <w:r>
        <w:rPr>
          <w:rFonts w:ascii="Nimbus Sans" w:hAnsi="Nimbus Sans" w:eastAsia="Nimbus Sans" w:cs="Nimbus Sans"/>
          <w:b w:val="0"/>
          <w:i w:val="0"/>
          <w:color w:val="20B2AA"/>
          <w:sz w:val="32"/>
        </w:rPr>
        <w:t>25. Disposições gerais</w:t>
      </w:r>
    </w:p>
    <w:p>
      <w:r>
        <w:rPr>
          <w:rFonts w:ascii="Nimbus Sans" w:hAnsi="Nimbus Sans" w:eastAsia="Nimbus Sans" w:cs="Nimbus Sans"/>
          <w:b w:val="0"/>
          <w:i w:val="0"/>
          <w:color w:val="191D17"/>
          <w:sz w:val="21"/>
        </w:rPr>
        <w:t>Se uma cláusula for inválida, será ajustada ao máximo permitido e as demais continuarão vigentes. Tolerância não é renúncia. Cessão pela contratante exige consentimento, salvo reorganização autorizada; a JobForged poderá ceder em reorganização ou sucessão com continuidade das obrigações e aviso quando necessário.</w:t>
      </w:r>
    </w:p>
    <w:p>
      <w:r>
        <w:rPr>
          <w:rFonts w:ascii="Nimbus Sans" w:hAnsi="Nimbus Sans" w:eastAsia="Nimbus Sans" w:cs="Nimbus Sans"/>
          <w:b w:val="0"/>
          <w:i w:val="0"/>
          <w:color w:val="191D17"/>
          <w:sz w:val="21"/>
        </w:rPr>
        <w:t>Estes Termos, juntamente com os documentos incorporados, formam o acordo aplicável ao seu objeto. A versão em português prevalece, salvo contrato que estabeleça o contrário.</w:t>
      </w:r>
    </w:p>
    <w:p>
      <w:pPr>
        <w:pStyle w:val="Heading1"/>
        <w:keepNext/>
      </w:pPr>
      <w:r>
        <w:rPr>
          <w:rFonts w:ascii="Nimbus Sans" w:hAnsi="Nimbus Sans" w:eastAsia="Nimbus Sans" w:cs="Nimbus Sans"/>
          <w:b w:val="0"/>
          <w:i w:val="0"/>
          <w:color w:val="20B2AA"/>
          <w:sz w:val="32"/>
        </w:rPr>
        <w:t>26. Contato</w:t>
      </w:r>
    </w:p>
    <w:p>
      <w:r>
        <w:rPr>
          <w:rFonts w:ascii="Nimbus Sans" w:hAnsi="Nimbus Sans" w:eastAsia="Nimbus Sans" w:cs="Nimbus Sans"/>
          <w:b/>
          <w:i w:val="0"/>
          <w:color w:val="191D17"/>
          <w:sz w:val="21"/>
        </w:rPr>
        <w:t>Responsável:</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[RAZÃO SOCIAL / NOME EMPRESARIAL]</w:t>
      </w:r>
    </w:p>
    <w:p>
      <w:r>
        <w:rPr>
          <w:rFonts w:ascii="Nimbus Sans" w:hAnsi="Nimbus Sans" w:eastAsia="Nimbus Sans" w:cs="Nimbus Sans"/>
          <w:b/>
          <w:i w:val="0"/>
          <w:color w:val="191D17"/>
          <w:sz w:val="21"/>
        </w:rPr>
        <w:t>CNPJ/CPF:</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[CNPJ/CPF]</w:t>
      </w:r>
    </w:p>
    <w:p>
      <w:r>
        <w:rPr>
          <w:rFonts w:ascii="Nimbus Sans" w:hAnsi="Nimbus Sans" w:eastAsia="Nimbus Sans" w:cs="Nimbus Sans"/>
          <w:b/>
          <w:i w:val="0"/>
          <w:color w:val="191D17"/>
          <w:sz w:val="21"/>
        </w:rPr>
        <w:t>Endereço:</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[ENDEREÇO DA SEDE]</w:t>
      </w:r>
    </w:p>
    <w:p>
      <w:r>
        <w:rPr>
          <w:rFonts w:ascii="Nimbus Sans" w:hAnsi="Nimbus Sans" w:eastAsia="Nimbus Sans" w:cs="Nimbus Sans"/>
          <w:b/>
          <w:i w:val="0"/>
          <w:color w:val="191D17"/>
          <w:sz w:val="21"/>
        </w:rPr>
        <w:t>Suporte:</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[E-MAIL DE SUPORTE]</w:t>
      </w:r>
    </w:p>
    <w:p>
      <w:r>
        <w:rPr>
          <w:rFonts w:ascii="Nimbus Sans" w:hAnsi="Nimbus Sans" w:eastAsia="Nimbus Sans" w:cs="Nimbus Sans"/>
          <w:b/>
          <w:i w:val="0"/>
          <w:color w:val="191D17"/>
          <w:sz w:val="21"/>
        </w:rPr>
        <w:t>Privacidade:</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[E-MAIL DE PRIVACIDADE]</w:t>
      </w:r>
    </w:p>
    <w:p>
      <w:r>
        <w:rPr>
          <w:rFonts w:ascii="Nimbus Sans" w:hAnsi="Nimbus Sans" w:eastAsia="Nimbus Sans" w:cs="Nimbus Sans"/>
          <w:b/>
          <w:i w:val="0"/>
          <w:color w:val="191D17"/>
          <w:sz w:val="21"/>
        </w:rPr>
        <w:t>Denúncia de vaga:</w:t>
      </w:r>
      <w:r>
        <w:rPr>
          <w:rFonts w:ascii="Nimbus Sans" w:hAnsi="Nimbus Sans" w:eastAsia="Nimbus Sans" w:cs="Nimbus Sans"/>
          <w:b w:val="0"/>
          <w:i w:val="0"/>
          <w:color w:val="191D17"/>
          <w:sz w:val="21"/>
        </w:rPr>
        <w:t xml:space="preserve"> </w:t>
      </w:r>
      <w:r>
        <w:rPr>
          <w:rFonts w:ascii="Nimbus Sans" w:hAnsi="Nimbus Sans" w:eastAsia="Nimbus Sans" w:cs="Nimbus Sans"/>
          <w:b/>
          <w:i w:val="0"/>
          <w:color w:val="B42318"/>
          <w:sz w:val="21"/>
        </w:rPr>
        <w:t>[CANAL DE DENÚNCIA DE VAGAS]</w:t>
      </w:r>
    </w:p>
    <w:p>
      <w:pPr>
        <w:pStyle w:val="Heading1"/>
        <w:keepNext/>
      </w:pPr>
      <w:r>
        <w:rPr>
          <w:rFonts w:ascii="Nimbus Sans" w:hAnsi="Nimbus Sans" w:eastAsia="Nimbus Sans" w:cs="Nimbus Sans"/>
          <w:b w:val="0"/>
          <w:i w:val="0"/>
          <w:color w:val="20B2AA"/>
          <w:sz w:val="32"/>
        </w:rPr>
        <w:t>27. Condições obrigatórias antes da publicação</w:t>
      </w:r>
    </w:p>
    <w:p>
      <w:pPr>
        <w:pStyle w:val="ListBullet"/>
      </w:pPr>
      <w:r>
        <w:rPr>
          <w:rFonts w:ascii="Nimbus Sans" w:hAnsi="Nimbus Sans" w:eastAsia="Nimbus Sans" w:cs="Nimbus Sans"/>
          <w:b w:val="0"/>
          <w:i w:val="0"/>
          <w:color w:val="191D17"/>
          <w:sz w:val="21"/>
        </w:rPr>
        <w:t xml:space="preserve"> preencher identidade jurídica, CNPJ/CPF, endereço, suporte, privacidade, denúncia, foro e vigência;</w:t>
      </w:r>
    </w:p>
    <w:p>
      <w:pPr>
        <w:pStyle w:val="ListBullet"/>
      </w:pPr>
      <w:r>
        <w:rPr>
          <w:rFonts w:ascii="Nimbus Sans" w:hAnsi="Nimbus Sans" w:eastAsia="Nimbus Sans" w:cs="Nimbus Sans"/>
          <w:b w:val="0"/>
          <w:i w:val="0"/>
          <w:color w:val="191D17"/>
          <w:sz w:val="21"/>
        </w:rPr>
        <w:t xml:space="preserve"> conferir recursos, integrações, planos, cobrança, SLA e estágios realmente disponíveis;</w:t>
      </w:r>
    </w:p>
    <w:p>
      <w:pPr>
        <w:pStyle w:val="ListBullet"/>
      </w:pPr>
      <w:r>
        <w:rPr>
          <w:rFonts w:ascii="Nimbus Sans" w:hAnsi="Nimbus Sans" w:eastAsia="Nimbus Sans" w:cs="Nimbus Sans"/>
          <w:b w:val="0"/>
          <w:i w:val="0"/>
          <w:color w:val="191D17"/>
          <w:sz w:val="21"/>
        </w:rPr>
        <w:t xml:space="preserve"> publicar Política de Privacidade, cookies e acordo de tratamento coerentes;</w:t>
      </w:r>
    </w:p>
    <w:p>
      <w:pPr>
        <w:pStyle w:val="ListBullet"/>
      </w:pPr>
      <w:r>
        <w:rPr>
          <w:rFonts w:ascii="Nimbus Sans" w:hAnsi="Nimbus Sans" w:eastAsia="Nimbus Sans" w:cs="Nimbus Sans"/>
          <w:b w:val="0"/>
          <w:i w:val="0"/>
          <w:color w:val="191D17"/>
          <w:sz w:val="21"/>
        </w:rPr>
        <w:t xml:space="preserve"> definir processo de verificação, denúncia, moderação, recurso e remoção de vagas;</w:t>
      </w:r>
    </w:p>
    <w:p>
      <w:pPr>
        <w:pStyle w:val="ListBullet"/>
      </w:pPr>
      <w:r>
        <w:rPr>
          <w:rFonts w:ascii="Nimbus Sans" w:hAnsi="Nimbus Sans" w:eastAsia="Nimbus Sans" w:cs="Nimbus Sans"/>
          <w:b w:val="0"/>
          <w:i w:val="0"/>
          <w:color w:val="191D17"/>
          <w:sz w:val="21"/>
        </w:rPr>
        <w:t xml:space="preserve"> definir fatores de ranking e sinalização de conteúdo patrocinado;</w:t>
      </w:r>
    </w:p>
    <w:p>
      <w:pPr>
        <w:pStyle w:val="ListBullet"/>
      </w:pPr>
      <w:r>
        <w:rPr>
          <w:rFonts w:ascii="Nimbus Sans" w:hAnsi="Nimbus Sans" w:eastAsia="Nimbus Sans" w:cs="Nimbus Sans"/>
          <w:b w:val="0"/>
          <w:i w:val="0"/>
          <w:color w:val="191D17"/>
          <w:sz w:val="21"/>
        </w:rPr>
        <w:t xml:space="preserve"> implementar aceite registrável, versionamento e aviso de mudança;</w:t>
      </w:r>
    </w:p>
    <w:p>
      <w:pPr>
        <w:pStyle w:val="ListBullet"/>
      </w:pPr>
      <w:r>
        <w:rPr>
          <w:rFonts w:ascii="Nimbus Sans" w:hAnsi="Nimbus Sans" w:eastAsia="Nimbus Sans" w:cs="Nimbus Sans"/>
          <w:b w:val="0"/>
          <w:i w:val="0"/>
          <w:color w:val="191D17"/>
          <w:sz w:val="21"/>
        </w:rPr>
        <w:t xml:space="preserve"> formalizar responsabilidades de empresas, recrutadores, candidatos, anunciantes e fornecedores;</w:t>
      </w:r>
    </w:p>
    <w:p>
      <w:pPr>
        <w:pStyle w:val="ListBullet"/>
      </w:pPr>
      <w:r>
        <w:rPr>
          <w:rFonts w:ascii="Nimbus Sans" w:hAnsi="Nimbus Sans" w:eastAsia="Nimbus Sans" w:cs="Nimbus Sans"/>
          <w:b w:val="0"/>
          <w:i w:val="0"/>
          <w:color w:val="191D17"/>
          <w:sz w:val="21"/>
        </w:rPr>
        <w:t xml:space="preserve"> validar licença de conteúdo, propriedade intelectual e uso de marcas;</w:t>
      </w:r>
    </w:p>
    <w:p>
      <w:pPr>
        <w:pStyle w:val="ListBullet"/>
      </w:pPr>
      <w:r>
        <w:rPr>
          <w:rFonts w:ascii="Nimbus Sans" w:hAnsi="Nimbus Sans" w:eastAsia="Nimbus Sans" w:cs="Nimbus Sans"/>
          <w:b w:val="0"/>
          <w:i w:val="0"/>
          <w:color w:val="191D17"/>
          <w:sz w:val="21"/>
        </w:rPr>
        <w:t xml:space="preserve"> configurar exportação, encerramento, retenção e eliminação;</w:t>
      </w:r>
    </w:p>
    <w:p>
      <w:pPr>
        <w:pStyle w:val="ListBullet"/>
      </w:pPr>
      <w:r>
        <w:rPr>
          <w:rFonts w:ascii="Nimbus Sans" w:hAnsi="Nimbus Sans" w:eastAsia="Nimbus Sans" w:cs="Nimbus Sans"/>
          <w:b w:val="0"/>
          <w:i w:val="0"/>
          <w:color w:val="191D17"/>
          <w:sz w:val="21"/>
        </w:rPr>
        <w:t xml:space="preserve"> revisar limites de responsabilidade no contrato B2B e preservar CDC e LGPD;</w:t>
      </w:r>
    </w:p>
    <w:p>
      <w:pPr>
        <w:pStyle w:val="ListBullet"/>
      </w:pPr>
      <w:r>
        <w:rPr>
          <w:rFonts w:ascii="Nimbus Sans" w:hAnsi="Nimbus Sans" w:eastAsia="Nimbus Sans" w:cs="Nimbus Sans"/>
          <w:b w:val="0"/>
          <w:i w:val="0"/>
          <w:color w:val="191D17"/>
          <w:sz w:val="21"/>
        </w:rPr>
        <w:t xml:space="preserve"> obter revisão jurídica brasileira antes da publicação.</w:t>
      </w:r>
    </w:p>
    <w:p>
      <w:pPr>
        <w:pStyle w:val="Heading1"/>
        <w:keepNext/>
      </w:pPr>
      <w:r>
        <w:rPr>
          <w:rFonts w:ascii="Nimbus Sans" w:hAnsi="Nimbus Sans" w:eastAsia="Nimbus Sans" w:cs="Nimbus Sans"/>
          <w:b w:val="0"/>
          <w:i w:val="0"/>
          <w:color w:val="20B2AA"/>
          <w:sz w:val="32"/>
        </w:rPr>
        <w:t>28. Referências normativas de elaboração</w:t>
      </w:r>
    </w:p>
    <w:p>
      <w:pPr>
        <w:pStyle w:val="ListBullet"/>
      </w:pPr>
      <w:r>
        <w:rPr>
          <w:rFonts w:ascii="Nimbus Sans" w:hAnsi="Nimbus Sans" w:eastAsia="Nimbus Sans" w:cs="Nimbus Sans"/>
          <w:b w:val="0"/>
          <w:i w:val="0"/>
          <w:color w:val="191D17"/>
          <w:sz w:val="21"/>
        </w:rPr>
        <w:t xml:space="preserve"> Lei nº 13.709/2018 — Lei Geral de Proteção de Dados Pessoais: https://www.planalto.gov.br/ccivil_03/_ato2015-2018/2018/lei/l13709compilado.htm</w:t>
      </w:r>
    </w:p>
    <w:p>
      <w:pPr>
        <w:pStyle w:val="ListBullet"/>
      </w:pPr>
      <w:r>
        <w:rPr>
          <w:rFonts w:ascii="Nimbus Sans" w:hAnsi="Nimbus Sans" w:eastAsia="Nimbus Sans" w:cs="Nimbus Sans"/>
          <w:b w:val="0"/>
          <w:i w:val="0"/>
          <w:color w:val="191D17"/>
          <w:sz w:val="21"/>
        </w:rPr>
        <w:t xml:space="preserve"> Lei nº 12.965/2014 — Marco Civil da Internet: https://www.planalto.gov.br/ccivil_03/_ato2011-2014/2014/lei/l12965.htm</w:t>
      </w:r>
    </w:p>
    <w:p>
      <w:pPr>
        <w:pStyle w:val="ListBullet"/>
      </w:pPr>
      <w:r>
        <w:rPr>
          <w:rFonts w:ascii="Nimbus Sans" w:hAnsi="Nimbus Sans" w:eastAsia="Nimbus Sans" w:cs="Nimbus Sans"/>
          <w:b w:val="0"/>
          <w:i w:val="0"/>
          <w:color w:val="191D17"/>
          <w:sz w:val="21"/>
        </w:rPr>
        <w:t xml:space="preserve"> Lei nº 8.078/1990 — Código de Defesa do Consumidor: https://www.planalto.gov.br/ccivil_03/leis/l8078compilado.htm</w:t>
      </w:r>
    </w:p>
    <w:p>
      <w:pPr>
        <w:pStyle w:val="ListBullet"/>
      </w:pPr>
      <w:r>
        <w:rPr>
          <w:rFonts w:ascii="Nimbus Sans" w:hAnsi="Nimbus Sans" w:eastAsia="Nimbus Sans" w:cs="Nimbus Sans"/>
          <w:b w:val="0"/>
          <w:i w:val="0"/>
          <w:color w:val="191D17"/>
          <w:sz w:val="21"/>
        </w:rPr>
        <w:t xml:space="preserve"> Guia Orientativo — Cookies e Proteção de Dados Pessoais, ANPD: https://www.gov.br/anpd/pt-br/centrais-de-conteudo/materiais-educativos-e-publicacoes/guia-orientativo-cookies-e-protecao-de-dados-pessoais.pdf/@@display-file/file</w:t>
      </w:r>
    </w:p>
    <w:p>
      <w:pPr>
        <w:pStyle w:val="ListBullet"/>
      </w:pPr>
      <w:r>
        <w:rPr>
          <w:rFonts w:ascii="Nimbus Sans" w:hAnsi="Nimbus Sans" w:eastAsia="Nimbus Sans" w:cs="Nimbus Sans"/>
          <w:b w:val="0"/>
          <w:i w:val="0"/>
          <w:color w:val="191D17"/>
          <w:sz w:val="21"/>
        </w:rPr>
        <w:t xml:space="preserve"> Regulamentações da ANPD: https://www.gov.br/anpd/pt-br/acesso-a-informacao/institucional/atos-normativos/regulamentacoes_anpd</w:t>
      </w:r>
    </w:p>
    <w:p>
      <w:pPr>
        <w:pStyle w:val="ListBullet"/>
      </w:pPr>
      <w:r>
        <w:rPr>
          <w:rFonts w:ascii="Nimbus Sans" w:hAnsi="Nimbus Sans" w:eastAsia="Nimbus Sans" w:cs="Nimbus Sans"/>
          <w:b w:val="0"/>
          <w:i w:val="0"/>
          <w:color w:val="191D17"/>
          <w:sz w:val="21"/>
        </w:rPr>
        <w:t xml:space="preserve"> Código Brasileiro de Autorregulamentação Publicitária e decisões do CONAR: https://www.conar.org.br/</w:t>
      </w:r>
    </w:p>
    <w:p>
      <w:pPr>
        <w:pStyle w:val="LeadCallout"/>
      </w:pPr>
      <w:r>
        <w:rPr>
          <w:rFonts w:ascii="Nimbus Sans" w:hAnsi="Nimbus Sans" w:eastAsia="Nimbus Sans" w:cs="Nimbus Sans"/>
          <w:b/>
          <w:i w:val="0"/>
          <w:color w:val="191D17"/>
          <w:sz w:val="21"/>
        </w:rPr>
        <w:t>Controle da versão</w:t>
      </w:r>
    </w:p>
    <w:p>
      <w:r>
        <w:rPr>
          <w:rFonts w:ascii="Nimbus Sans" w:hAnsi="Nimbus Sans" w:eastAsia="Nimbus Sans" w:cs="Nimbus Sans"/>
          <w:b w:val="0"/>
          <w:i w:val="0"/>
          <w:color w:val="191D17"/>
          <w:sz w:val="21"/>
        </w:rPr>
        <w:t>Versão 1.0 — modelo operacional inicial consolidado em 21/08/2026.</w:t>
      </w:r>
    </w:p>
    <w:p>
      <w:r>
        <w:rPr>
          <w:rFonts w:ascii="Nimbus Sans" w:hAnsi="Nimbus Sans" w:eastAsia="Nimbus Sans" w:cs="Nimbus Sans"/>
          <w:b w:val="0"/>
          <w:i w:val="0"/>
          <w:color w:val="191D17"/>
          <w:sz w:val="21"/>
        </w:rPr>
        <w:t>Próxima revisão obrigatória: antes da publicação e sempre que houver mudança material de produto, plano, cobrança, anúncios, cookies, IA, integrações, portal de vagas, identidade jurídica ou legislação aplicável.</w:t>
      </w:r>
    </w:p>
    <w:sectPr w:rsidR="00FC693F" w:rsidRPr="0006063C" w:rsidSect="00034616">
      <w:headerReference w:type="default" r:id="rId9"/>
      <w:footerReference w:type="default" r:id="rId10"/>
      <w:pgSz w:w="12240" w:h="15840"/>
      <w:pgMar w:top="1181" w:right="1296" w:bottom="1123" w:left="1296"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Nimbus Sans" w:hAnsi="Nimbus Sans" w:eastAsia="Nimbus Sans" w:cs="Nimbus Sans"/>
        <w:color w:val="667085"/>
        <w:sz w:val="16"/>
      </w:rPr>
      <w:t xml:space="preserve">JobForged by Inside Forged   •   </w:t>
    </w:r>
    <w: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imbus Sans" w:hAnsi="Nimbus Sans" w:eastAsia="Nimbus Sans" w:cs="Nimbus Sans"/>
        <w:b/>
        <w:color w:val="20B2AA"/>
        <w:sz w:val="16"/>
      </w:rPr>
      <w:t>JOBFORGED  /  TERMOS DE USO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540"/>
        </w:tabs>
        <w:ind w:left="540" w:hanging="27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Nimbus Sans" w:hAnsi="Nimbus Sans"/>
      <w:color w:val="191D1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line="252" w:lineRule="auto"/>
      <w:outlineLvl w:val="0"/>
    </w:pPr>
    <w:rPr>
      <w:rFonts w:asciiTheme="majorHAnsi" w:eastAsiaTheme="majorEastAsia" w:hAnsiTheme="majorHAnsi" w:cstheme="majorBidi" w:ascii="Nimbus Sans" w:hAnsi="Nimbus Sans"/>
      <w:b/>
      <w:bCs/>
      <w:color w:val="20B2AA"/>
      <w:sz w:val="32"/>
      <w:szCs w:val="28"/>
    </w:rPr>
  </w:style>
  <w:style w:type="paragraph" w:styleId="Heading2">
    <w:name w:val="heading 2"/>
    <w:basedOn w:val="Normal"/>
    <w:next w:val="Normal"/>
    <w:link w:val="Heading2Char"/>
    <w:uiPriority w:val="9"/>
    <w:unhideWhenUsed/>
    <w:qFormat/>
    <w:rsid w:val="00FC693F"/>
    <w:pPr>
      <w:keepNext/>
      <w:keepLines/>
      <w:spacing w:before="240" w:after="100" w:line="252" w:lineRule="auto"/>
      <w:outlineLvl w:val="1"/>
    </w:pPr>
    <w:rPr>
      <w:rFonts w:asciiTheme="majorHAnsi" w:eastAsiaTheme="majorEastAsia" w:hAnsiTheme="majorHAnsi" w:cstheme="majorBidi" w:ascii="Nimbus Sans" w:hAnsi="Nimbus Sans"/>
      <w:b/>
      <w:bCs/>
      <w:color w:val="17243D"/>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Nimbus Sans" w:hAnsi="Nimbus Sans"/>
      <w:b/>
      <w:bCs/>
      <w:color w:val="4169E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52" w:lineRule="auto" w:before="0"/>
      <w:contextualSpacing/>
    </w:pPr>
    <w:rPr>
      <w:rFonts w:asciiTheme="majorHAnsi" w:eastAsiaTheme="majorEastAsia" w:hAnsiTheme="majorHAnsi" w:cstheme="majorBidi" w:ascii="Nimbus Sans" w:hAnsi="Nimbus Sans"/>
      <w:b/>
      <w:color w:val="17243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line="252" w:lineRule="auto"/>
    </w:pPr>
    <w:rPr>
      <w:rFonts w:asciiTheme="majorHAnsi" w:eastAsiaTheme="majorEastAsia" w:hAnsiTheme="majorHAnsi" w:cstheme="majorBidi" w:ascii="Nimbus Sans" w:hAnsi="Nimbus Sans"/>
      <w:b w:val="0"/>
      <w:i/>
      <w:iCs/>
      <w:color w:val="66708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83" w:lineRule="auto"/>
      <w:ind w:left="540" w:hanging="271"/>
      <w:contextualSpacing/>
    </w:pPr>
    <w:rPr>
      <w:rFonts w:ascii="Nimbus Sans" w:hAnsi="Nimbus Sans"/>
      <w:color w:val="191D17"/>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83" w:lineRule="auto"/>
      <w:ind w:left="540" w:hanging="271"/>
      <w:contextualSpacing/>
    </w:pPr>
    <w:rPr>
      <w:rFonts w:ascii="Nimbus Sans" w:hAnsi="Nimbus Sans"/>
      <w:color w:val="191D17"/>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120" w:after="200" w:line="288" w:lineRule="auto"/>
      <w:ind w:left="259" w:right="173"/>
    </w:pPr>
    <w:rPr>
      <w:rFonts w:ascii="Nimbus Sans" w:hAnsi="Nimbus Sans"/>
      <w:b/>
      <w:color w:val="17243D"/>
      <w:sz w:val="22"/>
    </w:rPr>
  </w:style>
  <w:style w:type="paragraph" w:customStyle="1" w:styleId="LegalWarning">
    <w:name w:val="Legal Warning"/>
    <w:pPr>
      <w:spacing w:before="120" w:after="200" w:line="283" w:lineRule="auto"/>
      <w:ind w:left="259" w:right="259"/>
    </w:pPr>
    <w:rPr>
      <w:rFonts w:ascii="Nimbus Sans" w:hAnsi="Nimbus Sans"/>
      <w:b/>
      <w:color w:val="B4231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JobForged — Termos De Uso</dc:title>
  <dc:subject>Termos de Uso operacionais da JobForged</dc:subject>
  <dc:creator>JobForged by Inside Forged</dc:creator>
  <cp:keywords>JobForged, termos, privacidade, LGPD, cookies, publicidade, vagas, recrutamento</cp:keywords>
  <dc:description>Modelo operacional consolidado em 21 de agosto de 2026; revisão e preenchimento obrigatórios antes da publicação.</dc:description>
  <cp:lastModifiedBy/>
  <cp:revision>1</cp:revision>
  <dcterms:created xsi:type="dcterms:W3CDTF">2013-12-23T23:15:00Z</dcterms:created>
  <dcterms:modified xsi:type="dcterms:W3CDTF">2013-12-23T23:15:00Z</dcterms:modified>
  <cp:category/>
</cp:coreProperties>
</file>